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rawings/drawing1.xml" ContentType="application/vnd.openxmlformats-officedocument.drawingml.chartshapes+xml"/>
  <Override PartName="/word/drawings/drawing2.xml" ContentType="application/vnd.openxmlformats-officedocument.drawingml.chartshapes+xml"/>
  <Override PartName="/word/header6.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ayout w:type="fixed"/>
        <w:tblLook w:val="0000"/>
      </w:tblPr>
      <w:tblGrid>
        <w:gridCol w:w="4927"/>
        <w:gridCol w:w="4001"/>
      </w:tblGrid>
      <w:tr w:rsidR="00A727DA">
        <w:trPr>
          <w:trHeight w:val="4536"/>
        </w:trPr>
        <w:tc>
          <w:tcPr>
            <w:tcW w:w="8928" w:type="dxa"/>
            <w:gridSpan w:val="2"/>
          </w:tcPr>
          <w:p w:rsidR="00A727DA" w:rsidRDefault="00404D24">
            <w:pPr>
              <w:pStyle w:val="ZPNazovPrace"/>
            </w:pPr>
            <w:r>
              <w:fldChar w:fldCharType="begin"/>
            </w:r>
            <w:r w:rsidR="00A727DA">
              <w:instrText xml:space="preserve">   \* MERGEFORMAT </w:instrText>
            </w:r>
            <w:r>
              <w:fldChar w:fldCharType="end"/>
            </w:r>
            <w:r>
              <w:fldChar w:fldCharType="begin"/>
            </w:r>
            <w:r w:rsidR="00A727DA">
              <w:instrText xml:space="preserve"> </w:instrText>
            </w:r>
            <w:r>
              <w:fldChar w:fldCharType="begin"/>
            </w:r>
            <w:r w:rsidR="00A727DA">
              <w:instrText xml:space="preserve"> </w:instrText>
            </w:r>
            <w:r>
              <w:fldChar w:fldCharType="begin"/>
            </w:r>
            <w:r w:rsidR="00A727DA">
              <w:instrText xml:space="preserve">  </w:instrText>
            </w:r>
            <w:r>
              <w:fldChar w:fldCharType="end"/>
            </w:r>
            <w:r w:rsidR="00A727DA">
              <w:instrText xml:space="preserve"> </w:instrText>
            </w:r>
            <w:r>
              <w:fldChar w:fldCharType="end"/>
            </w:r>
            <w:r w:rsidR="00A727DA">
              <w:instrText xml:space="preserve"> </w:instrText>
            </w:r>
            <w:r>
              <w:fldChar w:fldCharType="end"/>
            </w:r>
            <w:r w:rsidR="004F64F9">
              <w:t>SLOVENSKÁ POľNOHOSPOÁRSKA UNIVERZITA            V NITRE</w:t>
            </w:r>
          </w:p>
          <w:p w:rsidR="00A727DA" w:rsidRDefault="004F64F9">
            <w:pPr>
              <w:pStyle w:val="ZPNazovPrace"/>
            </w:pPr>
            <w:r>
              <w:t>fAKULTA EURÓPSKYCH ŠTúDIí A REGIONÁNEHO ROZVOJA</w:t>
            </w:r>
          </w:p>
          <w:p w:rsidR="00A727DA" w:rsidRDefault="00A727DA">
            <w:pPr>
              <w:pStyle w:val="Evidennslo"/>
            </w:pPr>
            <w:r>
              <w:t>Evidenčné číslo</w:t>
            </w:r>
          </w:p>
          <w:p w:rsidR="00A727DA" w:rsidRDefault="00404D24">
            <w:pPr>
              <w:pStyle w:val="ZPNazovPrace"/>
            </w:pPr>
            <w:fldSimple w:instr=" \* MERGEFORMAT ">
              <w:r w:rsidR="00A727DA">
                <w:t>Názov fakulty</w:t>
              </w:r>
            </w:fldSimple>
            <w:fldSimple w:instr=" \* MERGEFORMAT ">
              <w:r w:rsidR="00A727DA">
                <w:t>Názov vysokej školy</w:t>
              </w:r>
            </w:fldSimple>
          </w:p>
        </w:tc>
      </w:tr>
      <w:tr w:rsidR="00A727DA">
        <w:trPr>
          <w:trHeight w:val="3969"/>
        </w:trPr>
        <w:tc>
          <w:tcPr>
            <w:tcW w:w="8928" w:type="dxa"/>
            <w:gridSpan w:val="2"/>
            <w:vAlign w:val="center"/>
          </w:tcPr>
          <w:p w:rsidR="00A727DA" w:rsidRDefault="00404D24" w:rsidP="00F76F4F">
            <w:pPr>
              <w:pStyle w:val="ZPNazovPrace"/>
            </w:pPr>
            <w:fldSimple w:instr=" REF NazovPrace \h  \* MERGEFORMAT ">
              <w:r w:rsidR="00F76F4F">
                <w:t>APLIKÁCIA SPRÁVNEHO PORIADKU V ŽIVNOSTENSKOM PODNIKANÍ</w:t>
              </w:r>
              <w:r w:rsidR="004F64F9">
                <w:t xml:space="preserve"> </w:t>
              </w:r>
            </w:fldSimple>
          </w:p>
        </w:tc>
      </w:tr>
      <w:tr w:rsidR="00A727DA">
        <w:trPr>
          <w:trHeight w:val="1134"/>
        </w:trPr>
        <w:tc>
          <w:tcPr>
            <w:tcW w:w="8928" w:type="dxa"/>
            <w:gridSpan w:val="2"/>
            <w:vAlign w:val="center"/>
          </w:tcPr>
          <w:p w:rsidR="00A727DA" w:rsidRDefault="00A727DA">
            <w:pPr>
              <w:pStyle w:val="ZPTypPrace"/>
              <w:rPr>
                <w:rFonts w:cs="Times New Roman"/>
              </w:rPr>
            </w:pPr>
          </w:p>
        </w:tc>
      </w:tr>
      <w:tr w:rsidR="00A727DA">
        <w:trPr>
          <w:trHeight w:val="3481"/>
        </w:trPr>
        <w:tc>
          <w:tcPr>
            <w:tcW w:w="8928" w:type="dxa"/>
            <w:gridSpan w:val="2"/>
            <w:vAlign w:val="center"/>
          </w:tcPr>
          <w:p w:rsidR="00A727DA" w:rsidRDefault="00A727DA" w:rsidP="00956A22">
            <w:pPr>
              <w:pStyle w:val="ZPNormalnyText"/>
            </w:pPr>
          </w:p>
        </w:tc>
      </w:tr>
      <w:tr w:rsidR="00A727DA">
        <w:trPr>
          <w:trHeight w:val="567"/>
        </w:trPr>
        <w:tc>
          <w:tcPr>
            <w:tcW w:w="4927" w:type="dxa"/>
          </w:tcPr>
          <w:p w:rsidR="00A727DA" w:rsidRDefault="004F64F9">
            <w:pPr>
              <w:pStyle w:val="ZPObal"/>
            </w:pPr>
            <w:r>
              <w:t>2010</w:t>
            </w:r>
          </w:p>
        </w:tc>
        <w:tc>
          <w:tcPr>
            <w:tcW w:w="4001" w:type="dxa"/>
          </w:tcPr>
          <w:p w:rsidR="00A727DA" w:rsidRDefault="004F64F9" w:rsidP="004F64F9">
            <w:pPr>
              <w:pStyle w:val="ZPObal"/>
            </w:pPr>
            <w:r>
              <w:t>Monika Caletková</w:t>
            </w:r>
            <w:r w:rsidR="00A727DA">
              <w:t xml:space="preserve">, </w:t>
            </w:r>
            <w:r>
              <w:t>Bc.</w:t>
            </w:r>
          </w:p>
        </w:tc>
      </w:tr>
    </w:tbl>
    <w:p w:rsidR="00A727DA" w:rsidRDefault="00A727DA" w:rsidP="00956A22">
      <w:pPr>
        <w:pStyle w:val="ZPNormalnyText"/>
        <w:sectPr w:rsidR="00A727DA">
          <w:headerReference w:type="default" r:id="rId7"/>
          <w:footerReference w:type="default" r:id="rId8"/>
          <w:pgSz w:w="11906" w:h="16838"/>
          <w:pgMar w:top="1418" w:right="1134" w:bottom="1418" w:left="1985" w:header="567" w:footer="0" w:gutter="0"/>
          <w:cols w:space="708"/>
          <w:docGrid w:linePitch="360"/>
        </w:sectPr>
      </w:pPr>
    </w:p>
    <w:tbl>
      <w:tblPr>
        <w:tblW w:w="9003" w:type="dxa"/>
        <w:tblLayout w:type="fixed"/>
        <w:tblLook w:val="0000"/>
      </w:tblPr>
      <w:tblGrid>
        <w:gridCol w:w="4068"/>
        <w:gridCol w:w="4935"/>
      </w:tblGrid>
      <w:tr w:rsidR="00A727DA">
        <w:trPr>
          <w:trHeight w:val="3969"/>
        </w:trPr>
        <w:tc>
          <w:tcPr>
            <w:tcW w:w="9003" w:type="dxa"/>
            <w:gridSpan w:val="2"/>
          </w:tcPr>
          <w:p w:rsidR="00A727DA" w:rsidRDefault="00F76F4F">
            <w:pPr>
              <w:pStyle w:val="ZPNazovPrace"/>
            </w:pPr>
            <w:r>
              <w:lastRenderedPageBreak/>
              <w:t>SLOVENSKÁ POľNOHOSPOÁRSKA UNIVERZITA             V NITRE</w:t>
            </w:r>
          </w:p>
          <w:p w:rsidR="00A727DA" w:rsidRDefault="00F76F4F">
            <w:pPr>
              <w:pStyle w:val="ZPNazovPrace"/>
            </w:pPr>
            <w:r>
              <w:t>fAKULTA EURÓPSKYCH ŠTúDIí A REGIONÁNEHO ROZVOJA</w:t>
            </w:r>
          </w:p>
        </w:tc>
      </w:tr>
      <w:tr w:rsidR="00A727DA">
        <w:trPr>
          <w:trHeight w:val="1703"/>
        </w:trPr>
        <w:tc>
          <w:tcPr>
            <w:tcW w:w="9003" w:type="dxa"/>
            <w:gridSpan w:val="2"/>
            <w:vAlign w:val="center"/>
          </w:tcPr>
          <w:p w:rsidR="00A727DA" w:rsidRDefault="00F76F4F">
            <w:pPr>
              <w:pStyle w:val="ZPNazovPrace"/>
            </w:pPr>
            <w:r>
              <w:t>APLIKÁCIA SPRÁVNEHO PORIADKU V ŽIVNOSTENSKOM PODNIKANÍ</w:t>
            </w:r>
          </w:p>
          <w:p w:rsidR="00A727DA" w:rsidRDefault="00A727DA">
            <w:pPr>
              <w:pStyle w:val="ZPNazovPrace"/>
            </w:pPr>
          </w:p>
          <w:p w:rsidR="00A727DA" w:rsidRDefault="00F76F4F" w:rsidP="00F76F4F">
            <w:pPr>
              <w:pStyle w:val="Oznaenieprce"/>
            </w:pPr>
            <w:r>
              <w:t xml:space="preserve">Diplomová </w:t>
            </w:r>
            <w:r w:rsidR="00A727DA">
              <w:t>práca</w:t>
            </w:r>
          </w:p>
        </w:tc>
      </w:tr>
      <w:tr w:rsidR="00A727DA">
        <w:trPr>
          <w:trHeight w:val="3309"/>
        </w:trPr>
        <w:tc>
          <w:tcPr>
            <w:tcW w:w="9003" w:type="dxa"/>
            <w:gridSpan w:val="2"/>
            <w:vAlign w:val="center"/>
          </w:tcPr>
          <w:p w:rsidR="00A727DA" w:rsidRDefault="00404D24">
            <w:pPr>
              <w:pStyle w:val="ZPTypPrace"/>
            </w:pPr>
            <w:r>
              <w:rPr>
                <w:b w:val="0"/>
              </w:rPr>
              <w:fldChar w:fldCharType="begin"/>
            </w:r>
            <w:r w:rsidR="00A727DA">
              <w:rPr>
                <w:b w:val="0"/>
              </w:rPr>
              <w:instrText xml:space="preserve"> ASK TypPrace "Zadajte TYP práce"</w:instrText>
            </w:r>
            <w:r>
              <w:rPr>
                <w:b w:val="0"/>
              </w:rPr>
              <w:fldChar w:fldCharType="separate"/>
            </w:r>
            <w:bookmarkStart w:id="0" w:name="TypPrace"/>
            <w:r w:rsidR="00A727DA">
              <w:rPr>
                <w:b w:val="0"/>
              </w:rPr>
              <w:t>Bakalárska práca, Diplomová práca, Dizertačná práca, Habilitačná práca</w:t>
            </w:r>
            <w:bookmarkEnd w:id="0"/>
            <w:r>
              <w:rPr>
                <w:b w:val="0"/>
              </w:rPr>
              <w:fldChar w:fldCharType="end"/>
            </w:r>
            <w:r w:rsidR="00A727DA">
              <w:t xml:space="preserve"> </w:t>
            </w:r>
          </w:p>
        </w:tc>
      </w:tr>
      <w:tr w:rsidR="00A727DA">
        <w:trPr>
          <w:trHeight w:val="570"/>
        </w:trPr>
        <w:tc>
          <w:tcPr>
            <w:tcW w:w="4068" w:type="dxa"/>
            <w:vAlign w:val="center"/>
          </w:tcPr>
          <w:p w:rsidR="00A727DA" w:rsidRDefault="00A727DA">
            <w:pPr>
              <w:pStyle w:val="ZPTitulList"/>
            </w:pPr>
            <w:r>
              <w:t>Študijný program:</w:t>
            </w:r>
            <w:r w:rsidR="00F76F4F">
              <w:t xml:space="preserve"> </w:t>
            </w:r>
          </w:p>
        </w:tc>
        <w:tc>
          <w:tcPr>
            <w:tcW w:w="4935" w:type="dxa"/>
            <w:vAlign w:val="center"/>
          </w:tcPr>
          <w:p w:rsidR="00A727DA" w:rsidRDefault="00F76F4F">
            <w:pPr>
              <w:pStyle w:val="ZPTitulList"/>
            </w:pPr>
            <w:r>
              <w:t>Regionálny rozvoj</w:t>
            </w:r>
          </w:p>
        </w:tc>
      </w:tr>
      <w:tr w:rsidR="00A727DA">
        <w:trPr>
          <w:trHeight w:val="570"/>
        </w:trPr>
        <w:tc>
          <w:tcPr>
            <w:tcW w:w="4068" w:type="dxa"/>
            <w:vAlign w:val="center"/>
          </w:tcPr>
          <w:p w:rsidR="00A727DA" w:rsidRDefault="00A727DA">
            <w:pPr>
              <w:pStyle w:val="ZPTitulList"/>
            </w:pPr>
            <w:r>
              <w:t>Študijný odbor:</w:t>
            </w:r>
          </w:p>
        </w:tc>
        <w:tc>
          <w:tcPr>
            <w:tcW w:w="4935" w:type="dxa"/>
            <w:vAlign w:val="center"/>
          </w:tcPr>
          <w:p w:rsidR="00A727DA" w:rsidRDefault="00F76F4F">
            <w:pPr>
              <w:pStyle w:val="ZPTitulList"/>
            </w:pPr>
            <w:r>
              <w:t>3.3.5. Verejná správa a regionálny rozvoj</w:t>
            </w:r>
            <w:r w:rsidR="00404D24">
              <w:fldChar w:fldCharType="begin"/>
            </w:r>
            <w:r w:rsidR="00A727DA">
              <w:instrText xml:space="preserve"> ASK  Specializacia "Zadajte presný názov ŠTUDIJNÉHO PROGRAMU"</w:instrText>
            </w:r>
            <w:r w:rsidR="00404D24">
              <w:fldChar w:fldCharType="separate"/>
            </w:r>
            <w:bookmarkStart w:id="1" w:name="Specializacia"/>
            <w:r w:rsidR="00A727DA">
              <w:t>číslo a názov</w:t>
            </w:r>
            <w:bookmarkEnd w:id="1"/>
            <w:r w:rsidR="00404D24">
              <w:fldChar w:fldCharType="end"/>
            </w:r>
          </w:p>
        </w:tc>
      </w:tr>
      <w:tr w:rsidR="00A727DA">
        <w:trPr>
          <w:trHeight w:val="570"/>
        </w:trPr>
        <w:tc>
          <w:tcPr>
            <w:tcW w:w="4068" w:type="dxa"/>
            <w:vAlign w:val="center"/>
          </w:tcPr>
          <w:p w:rsidR="00A727DA" w:rsidRDefault="00A727DA">
            <w:pPr>
              <w:pStyle w:val="ZPTitulList"/>
            </w:pPr>
            <w:r>
              <w:t>Školiace pracovisko:</w:t>
            </w:r>
          </w:p>
        </w:tc>
        <w:tc>
          <w:tcPr>
            <w:tcW w:w="4935" w:type="dxa"/>
            <w:vAlign w:val="center"/>
          </w:tcPr>
          <w:p w:rsidR="00A727DA" w:rsidRDefault="00404D24">
            <w:pPr>
              <w:pStyle w:val="ZPTitulList"/>
            </w:pPr>
            <w:r>
              <w:fldChar w:fldCharType="begin"/>
            </w:r>
            <w:r w:rsidR="00A727DA">
              <w:instrText xml:space="preserve"> ASK  Katedra "Zadajte presný názov KATEDRY" </w:instrText>
            </w:r>
            <w:r>
              <w:fldChar w:fldCharType="separate"/>
            </w:r>
            <w:bookmarkStart w:id="2" w:name="Katedra"/>
            <w:r w:rsidR="00A727DA">
              <w:t>Názov katedry</w:t>
            </w:r>
            <w:bookmarkEnd w:id="2"/>
            <w:r>
              <w:fldChar w:fldCharType="end"/>
            </w:r>
            <w:r w:rsidR="00F76F4F">
              <w:t>Katedra práva</w:t>
            </w:r>
            <w:r w:rsidR="00A727DA">
              <w:t xml:space="preserve"> </w:t>
            </w:r>
          </w:p>
        </w:tc>
      </w:tr>
      <w:tr w:rsidR="00A727DA">
        <w:trPr>
          <w:trHeight w:val="570"/>
        </w:trPr>
        <w:tc>
          <w:tcPr>
            <w:tcW w:w="4068" w:type="dxa"/>
            <w:vAlign w:val="center"/>
          </w:tcPr>
          <w:p w:rsidR="00A727DA" w:rsidRDefault="00A727DA">
            <w:pPr>
              <w:pStyle w:val="ZPTitulList"/>
            </w:pPr>
            <w:r>
              <w:t>Školiteľ:</w:t>
            </w:r>
          </w:p>
        </w:tc>
        <w:tc>
          <w:tcPr>
            <w:tcW w:w="4935" w:type="dxa"/>
            <w:vAlign w:val="center"/>
          </w:tcPr>
          <w:p w:rsidR="00A727DA" w:rsidRDefault="00F76F4F" w:rsidP="00F76F4F">
            <w:pPr>
              <w:pStyle w:val="ZPTitulList"/>
            </w:pPr>
            <w:r>
              <w:t>doc. JUDr. Eleonóra Marišová</w:t>
            </w:r>
            <w:r w:rsidR="00A727DA">
              <w:t xml:space="preserve">, </w:t>
            </w:r>
            <w:r>
              <w:t>PhD.</w:t>
            </w:r>
            <w:r w:rsidR="00A727DA">
              <w:t xml:space="preserve"> </w:t>
            </w:r>
          </w:p>
        </w:tc>
      </w:tr>
      <w:tr w:rsidR="00A727DA">
        <w:trPr>
          <w:trHeight w:val="570"/>
        </w:trPr>
        <w:tc>
          <w:tcPr>
            <w:tcW w:w="4068" w:type="dxa"/>
            <w:vAlign w:val="center"/>
          </w:tcPr>
          <w:p w:rsidR="00A727DA" w:rsidRDefault="00A727DA">
            <w:pPr>
              <w:pStyle w:val="ZPTitulList"/>
            </w:pPr>
          </w:p>
        </w:tc>
        <w:tc>
          <w:tcPr>
            <w:tcW w:w="4935" w:type="dxa"/>
            <w:vAlign w:val="center"/>
          </w:tcPr>
          <w:p w:rsidR="00A727DA" w:rsidRDefault="00A727DA">
            <w:pPr>
              <w:pStyle w:val="ZPTitulList"/>
            </w:pPr>
          </w:p>
        </w:tc>
      </w:tr>
      <w:tr w:rsidR="00A727DA">
        <w:trPr>
          <w:trHeight w:val="1679"/>
        </w:trPr>
        <w:tc>
          <w:tcPr>
            <w:tcW w:w="4068" w:type="dxa"/>
          </w:tcPr>
          <w:p w:rsidR="00A727DA" w:rsidRDefault="00A727DA">
            <w:pPr>
              <w:pStyle w:val="ZPTitulList"/>
            </w:pPr>
          </w:p>
        </w:tc>
        <w:tc>
          <w:tcPr>
            <w:tcW w:w="4935" w:type="dxa"/>
          </w:tcPr>
          <w:p w:rsidR="00A727DA" w:rsidRDefault="00A727DA">
            <w:pPr>
              <w:pStyle w:val="ZPTitulList"/>
            </w:pPr>
          </w:p>
        </w:tc>
      </w:tr>
      <w:tr w:rsidR="00A727DA">
        <w:trPr>
          <w:trHeight w:val="80"/>
        </w:trPr>
        <w:tc>
          <w:tcPr>
            <w:tcW w:w="4068" w:type="dxa"/>
            <w:vAlign w:val="center"/>
          </w:tcPr>
          <w:p w:rsidR="00A727DA" w:rsidRDefault="00404D24">
            <w:pPr>
              <w:pStyle w:val="ZPObal"/>
              <w:rPr>
                <w:sz w:val="20"/>
                <w:lang w:eastAsia="zh-CN"/>
              </w:rPr>
            </w:pPr>
            <w:r>
              <w:fldChar w:fldCharType="begin"/>
            </w:r>
            <w:r w:rsidR="00A727DA">
              <w:instrText xml:space="preserve"> ASK Mesto "Zadajte MESTO sídla katedry</w:instrText>
            </w:r>
            <w:r>
              <w:fldChar w:fldCharType="separate"/>
            </w:r>
            <w:bookmarkStart w:id="3" w:name="Mesto"/>
            <w:r w:rsidR="00A727DA">
              <w:t>Mesto</w:t>
            </w:r>
            <w:bookmarkEnd w:id="3"/>
            <w:r>
              <w:fldChar w:fldCharType="end"/>
            </w:r>
            <w:bookmarkStart w:id="4" w:name="datumODO"/>
            <w:r w:rsidR="00F76F4F">
              <w:t>Nitra, 2010</w:t>
            </w:r>
            <w:r>
              <w:fldChar w:fldCharType="begin"/>
            </w:r>
            <w:r w:rsidR="00A727DA">
              <w:instrText xml:space="preserve"> ASK rokO "Zadajte ROK odovzdania práce"</w:instrText>
            </w:r>
            <w:r>
              <w:fldChar w:fldCharType="separate"/>
            </w:r>
            <w:bookmarkStart w:id="5" w:name="rokO"/>
            <w:r w:rsidR="00A727DA">
              <w:t>2009</w:t>
            </w:r>
            <w:bookmarkEnd w:id="5"/>
            <w:r>
              <w:fldChar w:fldCharType="end"/>
            </w:r>
            <w:bookmarkEnd w:id="4"/>
          </w:p>
        </w:tc>
        <w:tc>
          <w:tcPr>
            <w:tcW w:w="4935" w:type="dxa"/>
            <w:vAlign w:val="center"/>
          </w:tcPr>
          <w:p w:rsidR="00A727DA" w:rsidRDefault="00404D24" w:rsidP="00F76F4F">
            <w:pPr>
              <w:pStyle w:val="ZPObal"/>
            </w:pPr>
            <w:r>
              <w:fldChar w:fldCharType="begin"/>
            </w:r>
            <w:r w:rsidR="00A727DA">
              <w:instrText xml:space="preserve">  ASK  TitulAutora "Zadajte TITUL autora"</w:instrText>
            </w:r>
            <w:r>
              <w:fldChar w:fldCharType="separate"/>
            </w:r>
            <w:bookmarkStart w:id="6" w:name="TitulAutora"/>
            <w:r w:rsidR="00A727DA">
              <w:t>Titul</w:t>
            </w:r>
            <w:bookmarkEnd w:id="6"/>
            <w:r>
              <w:fldChar w:fldCharType="end"/>
            </w:r>
            <w:r>
              <w:fldChar w:fldCharType="begin"/>
            </w:r>
            <w:r w:rsidR="00A727DA">
              <w:instrText xml:space="preserve">  ASK  menoAutora "Zadajte MENO autora"</w:instrText>
            </w:r>
            <w:r>
              <w:fldChar w:fldCharType="separate"/>
            </w:r>
            <w:bookmarkStart w:id="7" w:name="menoAutora"/>
            <w:r w:rsidR="00A727DA">
              <w:t>Meno</w:t>
            </w:r>
            <w:bookmarkEnd w:id="7"/>
            <w:r>
              <w:fldChar w:fldCharType="end"/>
            </w:r>
            <w:r w:rsidR="00F76F4F">
              <w:t>Monika Caletková</w:t>
            </w:r>
            <w:r w:rsidR="00A727DA">
              <w:t xml:space="preserve">, </w:t>
            </w:r>
            <w:r w:rsidR="00F76F4F">
              <w:t>Bc.</w:t>
            </w:r>
          </w:p>
        </w:tc>
      </w:tr>
    </w:tbl>
    <w:p w:rsidR="00A727DA" w:rsidRDefault="00A727DA" w:rsidP="00956A22">
      <w:pPr>
        <w:pStyle w:val="ZPNormalnyText"/>
        <w:sectPr w:rsidR="00A727DA">
          <w:headerReference w:type="default" r:id="rId9"/>
          <w:footerReference w:type="default" r:id="rId10"/>
          <w:pgSz w:w="11906" w:h="16838"/>
          <w:pgMar w:top="1134" w:right="1418" w:bottom="284" w:left="1418" w:header="567" w:footer="0" w:gutter="567"/>
          <w:pgNumType w:start="1"/>
          <w:cols w:space="708"/>
        </w:sectPr>
      </w:pPr>
    </w:p>
    <w:p w:rsidR="00A727DA" w:rsidRPr="00043359" w:rsidRDefault="00A727DA" w:rsidP="00956A22">
      <w:pPr>
        <w:pStyle w:val="ZPNormalnyText"/>
        <w:rPr>
          <w:b/>
          <w:sz w:val="32"/>
          <w:szCs w:val="32"/>
        </w:rPr>
      </w:pPr>
      <w:r w:rsidRPr="00043359">
        <w:rPr>
          <w:b/>
          <w:sz w:val="32"/>
          <w:szCs w:val="32"/>
        </w:rPr>
        <w:lastRenderedPageBreak/>
        <w:t xml:space="preserve">Čestné vyhlásenie </w:t>
      </w:r>
    </w:p>
    <w:p w:rsidR="00A727DA" w:rsidRDefault="00A727DA" w:rsidP="00956A22">
      <w:pPr>
        <w:pStyle w:val="ZPNormalnyText"/>
        <w:rPr>
          <w:highlight w:val="lightGray"/>
        </w:rPr>
      </w:pPr>
      <w:r>
        <w:rPr>
          <w:highlight w:val="lightGray"/>
        </w:rPr>
        <w:t>Podpísan</w:t>
      </w:r>
      <w:r w:rsidR="001F0B8C">
        <w:rPr>
          <w:highlight w:val="lightGray"/>
        </w:rPr>
        <w:t>á</w:t>
      </w:r>
      <w:r>
        <w:rPr>
          <w:highlight w:val="lightGray"/>
        </w:rPr>
        <w:t xml:space="preserve"> </w:t>
      </w:r>
      <w:r w:rsidR="001F0B8C">
        <w:rPr>
          <w:highlight w:val="lightGray"/>
        </w:rPr>
        <w:t>Monika</w:t>
      </w:r>
      <w:r>
        <w:rPr>
          <w:highlight w:val="lightGray"/>
        </w:rPr>
        <w:t xml:space="preserve"> </w:t>
      </w:r>
      <w:r w:rsidR="001F0B8C">
        <w:rPr>
          <w:highlight w:val="lightGray"/>
        </w:rPr>
        <w:t>Caletková</w:t>
      </w:r>
      <w:r>
        <w:rPr>
          <w:highlight w:val="lightGray"/>
        </w:rPr>
        <w:t xml:space="preserve"> vyhlasujem, že som záverečnú prácu na tému „</w:t>
      </w:r>
      <w:r w:rsidR="001F0B8C">
        <w:rPr>
          <w:highlight w:val="lightGray"/>
        </w:rPr>
        <w:t>Aplikácia správneho poriadku v živnostenskom podnikaní</w:t>
      </w:r>
      <w:r>
        <w:rPr>
          <w:highlight w:val="lightGray"/>
        </w:rPr>
        <w:t>“ vypracoval</w:t>
      </w:r>
      <w:r w:rsidR="001F0B8C">
        <w:rPr>
          <w:highlight w:val="lightGray"/>
        </w:rPr>
        <w:t>a</w:t>
      </w:r>
      <w:r>
        <w:rPr>
          <w:highlight w:val="lightGray"/>
        </w:rPr>
        <w:t xml:space="preserve"> samostatne s použitím uvedenej literatúry.</w:t>
      </w:r>
    </w:p>
    <w:p w:rsidR="00A727DA" w:rsidRDefault="00A727DA" w:rsidP="00956A22">
      <w:pPr>
        <w:pStyle w:val="ZPNormalnyText"/>
      </w:pPr>
      <w:r>
        <w:rPr>
          <w:highlight w:val="lightGray"/>
        </w:rPr>
        <w:t>Som si vedom</w:t>
      </w:r>
      <w:r w:rsidR="001F0B8C">
        <w:rPr>
          <w:highlight w:val="lightGray"/>
        </w:rPr>
        <w:t>á</w:t>
      </w:r>
      <w:r>
        <w:rPr>
          <w:highlight w:val="lightGray"/>
        </w:rPr>
        <w:t xml:space="preserve"> zákonných dôsledkov v prípade, ak uvedené údaje nie sú pravdivé.</w:t>
      </w:r>
    </w:p>
    <w:p w:rsidR="00A727DA" w:rsidRDefault="00A727DA" w:rsidP="00956A22">
      <w:pPr>
        <w:pStyle w:val="ZPNormalnyText"/>
      </w:pPr>
    </w:p>
    <w:p w:rsidR="00A727DA" w:rsidRDefault="00A727DA" w:rsidP="00956A22">
      <w:pPr>
        <w:pStyle w:val="ZPNormalnyText"/>
      </w:pPr>
      <w:r>
        <w:rPr>
          <w:highlight w:val="lightGray"/>
        </w:rPr>
        <w:t>V Nitre 1</w:t>
      </w:r>
      <w:r w:rsidR="004C2C3A">
        <w:rPr>
          <w:highlight w:val="lightGray"/>
        </w:rPr>
        <w:t>9</w:t>
      </w:r>
      <w:r>
        <w:rPr>
          <w:highlight w:val="lightGray"/>
        </w:rPr>
        <w:t xml:space="preserve">. </w:t>
      </w:r>
      <w:r w:rsidR="004C2C3A">
        <w:rPr>
          <w:highlight w:val="lightGray"/>
        </w:rPr>
        <w:t>apríla</w:t>
      </w:r>
      <w:r>
        <w:rPr>
          <w:highlight w:val="lightGray"/>
        </w:rPr>
        <w:t xml:space="preserve"> 2010</w:t>
      </w:r>
    </w:p>
    <w:p w:rsidR="00A727DA" w:rsidRPr="00E162BF" w:rsidRDefault="00A727DA" w:rsidP="00956A22">
      <w:pPr>
        <w:pStyle w:val="ZPNormalnyText"/>
        <w:rPr>
          <w:i/>
          <w:iCs/>
          <w:sz w:val="32"/>
          <w:szCs w:val="32"/>
        </w:rPr>
      </w:pPr>
      <w:r>
        <w:t xml:space="preserve">        </w:t>
      </w:r>
      <w:r>
        <w:tab/>
      </w:r>
      <w:r w:rsidR="00362986">
        <w:t xml:space="preserve">                                                                               </w:t>
      </w:r>
      <w:r w:rsidR="001F0B8C" w:rsidRPr="00E162BF">
        <w:rPr>
          <w:sz w:val="32"/>
          <w:szCs w:val="32"/>
        </w:rPr>
        <w:t>Monika Caletková</w:t>
      </w:r>
    </w:p>
    <w:p w:rsidR="00A727DA" w:rsidRDefault="00A727DA" w:rsidP="00956A22">
      <w:pPr>
        <w:pStyle w:val="ZPNormalnyText"/>
      </w:pPr>
    </w:p>
    <w:p w:rsidR="00A727DA" w:rsidRDefault="00A727DA" w:rsidP="00956A22">
      <w:pPr>
        <w:pStyle w:val="ZPNormalnyText"/>
      </w:pPr>
    </w:p>
    <w:p w:rsidR="00AB041C" w:rsidRDefault="00AB041C" w:rsidP="00956A22">
      <w:pPr>
        <w:pStyle w:val="ZPNormalnyText"/>
      </w:pPr>
    </w:p>
    <w:p w:rsidR="00A727DA" w:rsidRPr="00043359" w:rsidRDefault="00A727DA" w:rsidP="00956A22">
      <w:pPr>
        <w:pStyle w:val="ZPNormalnyText"/>
        <w:rPr>
          <w:b/>
          <w:sz w:val="32"/>
          <w:szCs w:val="32"/>
        </w:rPr>
      </w:pPr>
      <w:r w:rsidRPr="00043359">
        <w:rPr>
          <w:b/>
          <w:sz w:val="32"/>
          <w:szCs w:val="32"/>
        </w:rPr>
        <w:lastRenderedPageBreak/>
        <w:t xml:space="preserve">Poďakovanie </w:t>
      </w:r>
    </w:p>
    <w:p w:rsidR="00A727DA" w:rsidRDefault="00130609" w:rsidP="00956A22">
      <w:pPr>
        <w:pStyle w:val="ZPNormalnyText"/>
        <w:rPr>
          <w:highlight w:val="lightGray"/>
        </w:rPr>
      </w:pPr>
      <w:r>
        <w:t>Touto cestou vyslovujem poďakovanie pani doc. JUDr. Marišovej, PhD. za pomoc, odborné vedenie, cenné rady a pripomienky pri vypracovaní mojej diplomovej práce.</w:t>
      </w:r>
    </w:p>
    <w:p w:rsidR="00A727DA" w:rsidRDefault="00A727DA" w:rsidP="00956A22">
      <w:pPr>
        <w:pStyle w:val="ZPNormalnyText"/>
      </w:pPr>
    </w:p>
    <w:p w:rsidR="00A727DA" w:rsidRDefault="00A727DA">
      <w:pPr>
        <w:spacing w:before="0"/>
        <w:jc w:val="left"/>
        <w:rPr>
          <w:szCs w:val="20"/>
        </w:rPr>
        <w:sectPr w:rsidR="00A727DA">
          <w:headerReference w:type="default" r:id="rId11"/>
          <w:pgSz w:w="11906" w:h="16838"/>
          <w:pgMar w:top="10064" w:right="1418" w:bottom="1418" w:left="1985" w:header="851" w:footer="680" w:gutter="0"/>
          <w:cols w:space="708"/>
        </w:sectPr>
      </w:pPr>
    </w:p>
    <w:tbl>
      <w:tblPr>
        <w:tblW w:w="0" w:type="auto"/>
        <w:tblLook w:val="01E0"/>
      </w:tblPr>
      <w:tblGrid>
        <w:gridCol w:w="8719"/>
      </w:tblGrid>
      <w:tr w:rsidR="00A727DA">
        <w:tc>
          <w:tcPr>
            <w:tcW w:w="0" w:type="auto"/>
            <w:vAlign w:val="center"/>
          </w:tcPr>
          <w:p w:rsidR="00A727DA" w:rsidRDefault="00A727DA" w:rsidP="00CA4810">
            <w:pPr>
              <w:pStyle w:val="ZPAbstrakt"/>
              <w:spacing w:before="60"/>
              <w:jc w:val="both"/>
            </w:pPr>
            <w:r>
              <w:lastRenderedPageBreak/>
              <w:t xml:space="preserve">Abstrakt </w:t>
            </w:r>
          </w:p>
        </w:tc>
      </w:tr>
      <w:tr w:rsidR="00A727DA">
        <w:tc>
          <w:tcPr>
            <w:tcW w:w="0" w:type="auto"/>
            <w:vAlign w:val="center"/>
          </w:tcPr>
          <w:p w:rsidR="00CA4810" w:rsidRDefault="00AE31CC" w:rsidP="00CA4810">
            <w:pPr>
              <w:ind w:firstLine="709"/>
              <w:rPr>
                <w:color w:val="000000"/>
              </w:rPr>
            </w:pPr>
            <w:r w:rsidRPr="005822E6">
              <w:t xml:space="preserve">Cieľom práce </w:t>
            </w:r>
            <w:r>
              <w:t>je</w:t>
            </w:r>
            <w:r w:rsidRPr="005822E6">
              <w:t xml:space="preserve"> aplikovanie správneho poriadku do živnostenského podnikania, ako aj analyzovanie vývoja tejto právnej formy podnikania v Slovenskej republike</w:t>
            </w:r>
            <w:r>
              <w:t xml:space="preserve"> a jej jednotlivých oblastiach, skúmanie vývoja počtu vydaných rozhodnutí na úseku živnostenského podnikania a analýza vybraného podnikateľského subjektu, vykonávajúceho svoju činnosť na základe živnostenského oprávnenia.</w:t>
            </w:r>
            <w:r w:rsidR="00CA4810" w:rsidRPr="005822E6">
              <w:t xml:space="preserve"> Základom pre splnenie tohto cieľa bolo dôkladné preštudovanie si informačných zdrojov a  následný proces ich vyhodnocovania.</w:t>
            </w:r>
            <w:r w:rsidR="00CA4810">
              <w:t xml:space="preserve"> </w:t>
            </w:r>
            <w:r w:rsidR="00CA4810" w:rsidRPr="005822E6">
              <w:t xml:space="preserve">Za základný právny predpis, ktorý upravuje procesný postup orgánov verejnej správy pri rozhodovaní o právach a povinnostiach účastníkov správneho konania, sa považuje zákon č. 71/1967 Zb. o správnom konaní. </w:t>
            </w:r>
            <w:r w:rsidR="00CA4810" w:rsidRPr="005822E6">
              <w:rPr>
                <w:color w:val="000000"/>
              </w:rPr>
              <w:t>I keď sa správny poriadok uplatňuje už takmer 43 rokov, prebehol len tromi novelizáciami, čo z neho robí jeden z najstabilnejších právnych predpisov v právnom poriadku Slovenskej republiky.</w:t>
            </w:r>
            <w:r w:rsidR="00CA4810" w:rsidRPr="005822E6">
              <w:t xml:space="preserve"> Ide však len o všeobecnú úpravu, voči osobitným právnym predpisom zaujíma subsidiárne postavenie. Jednou z týchto osobitných úprav, ktorá podľa potreby rozhodovania v určitých prípadoch upravuje väčšie či menšie odchýlky od všeobecnej úpravy, je aj najrozšírenejšia právna forma podnikania fyzických osôb v podmienkach Slovenskej republiky - živnostenské podnikanie, upravované zákonom č. 455/1991 Zb. o živnostenskom podnikaní.</w:t>
            </w:r>
            <w:r w:rsidR="00CA4810" w:rsidRPr="005822E6">
              <w:rPr>
                <w:color w:val="000000"/>
              </w:rPr>
              <w:t xml:space="preserve"> </w:t>
            </w:r>
            <w:r w:rsidR="00CA4810" w:rsidRPr="005822E6">
              <w:t xml:space="preserve">Porovnaním správneho poriadku a živnostenského zákona sme zistili, že tieto odlišnosti sa týkajú najmä postupu živnostenského (obvodného) úradu v konaní o vzniku živnostenské oprávnenia a v konaní o uložení pokuty. </w:t>
            </w:r>
            <w:r w:rsidR="00CA4810" w:rsidRPr="005822E6">
              <w:rPr>
                <w:color w:val="000000"/>
              </w:rPr>
              <w:t xml:space="preserve">Pre úspešnú podnikateľskú činnosť by </w:t>
            </w:r>
            <w:r w:rsidR="00CA4810">
              <w:rPr>
                <w:color w:val="000000"/>
              </w:rPr>
              <w:t xml:space="preserve">však </w:t>
            </w:r>
            <w:r w:rsidR="00CA4810" w:rsidRPr="005822E6">
              <w:rPr>
                <w:color w:val="000000"/>
              </w:rPr>
              <w:t xml:space="preserve">mali byť vytvorené vhodné subjektívne a objektívne predpoklady. K znižovaniu rozdielov v ekonomickej výkonnosti regiónov prispieva nielen štátna pomoc, ale aj štrukturálne fondy EÚ. </w:t>
            </w:r>
          </w:p>
          <w:p w:rsidR="00CA4810" w:rsidRPr="00CA4810" w:rsidRDefault="00CA4810" w:rsidP="00CA4810">
            <w:pPr>
              <w:ind w:firstLine="426"/>
            </w:pPr>
          </w:p>
          <w:p w:rsidR="00A727DA" w:rsidRDefault="00CA4810" w:rsidP="00956A22">
            <w:pPr>
              <w:pStyle w:val="ZPNormalnyText"/>
            </w:pPr>
            <w:r>
              <w:rPr>
                <w:b/>
              </w:rPr>
              <w:t xml:space="preserve">Kľúčové slová: </w:t>
            </w:r>
            <w:r>
              <w:t>verejná správa, správny poriadok, živnostenský zákon, živnostenský úrad, živnostenské podnikanie</w:t>
            </w:r>
          </w:p>
        </w:tc>
      </w:tr>
    </w:tbl>
    <w:p w:rsidR="00A727DA" w:rsidRDefault="00A727DA" w:rsidP="00956A22">
      <w:pPr>
        <w:pStyle w:val="ZPNormalnyText"/>
      </w:pPr>
      <w:r>
        <w:t xml:space="preserve"> </w:t>
      </w:r>
    </w:p>
    <w:p w:rsidR="00CA4810" w:rsidRDefault="00CA4810" w:rsidP="00956A22">
      <w:pPr>
        <w:pStyle w:val="ZPNormalnyText"/>
      </w:pPr>
    </w:p>
    <w:p w:rsidR="00CA4810" w:rsidRDefault="00CA4810" w:rsidP="00956A22">
      <w:pPr>
        <w:pStyle w:val="ZPNormalnyText"/>
      </w:pPr>
    </w:p>
    <w:p w:rsidR="00CA4810" w:rsidRDefault="00CA4810" w:rsidP="00956A22">
      <w:pPr>
        <w:pStyle w:val="ZPNormalnyText"/>
      </w:pPr>
    </w:p>
    <w:p w:rsidR="00CA4810" w:rsidRDefault="00CA4810" w:rsidP="00956A22">
      <w:pPr>
        <w:pStyle w:val="ZPNormalnyText"/>
      </w:pPr>
    </w:p>
    <w:p w:rsidR="00CA4810" w:rsidRDefault="00CA4810" w:rsidP="00956A22">
      <w:pPr>
        <w:pStyle w:val="ZPNormalnyText"/>
      </w:pPr>
    </w:p>
    <w:tbl>
      <w:tblPr>
        <w:tblW w:w="0" w:type="auto"/>
        <w:tblLook w:val="01E0"/>
      </w:tblPr>
      <w:tblGrid>
        <w:gridCol w:w="8719"/>
      </w:tblGrid>
      <w:tr w:rsidR="00A727DA">
        <w:tc>
          <w:tcPr>
            <w:tcW w:w="0" w:type="auto"/>
            <w:vAlign w:val="center"/>
          </w:tcPr>
          <w:p w:rsidR="00A727DA" w:rsidRDefault="00A727DA" w:rsidP="00CA4810">
            <w:pPr>
              <w:pStyle w:val="ZPAbstrakt"/>
              <w:spacing w:before="60"/>
              <w:jc w:val="both"/>
              <w:rPr>
                <w:b w:val="0"/>
                <w:bCs w:val="0"/>
              </w:rPr>
            </w:pPr>
            <w:r>
              <w:lastRenderedPageBreak/>
              <w:t>Abstra</w:t>
            </w:r>
            <w:r w:rsidR="00CA4810">
              <w:t>c</w:t>
            </w:r>
            <w:r>
              <w:t xml:space="preserve">t </w:t>
            </w:r>
          </w:p>
        </w:tc>
      </w:tr>
      <w:tr w:rsidR="00A727DA">
        <w:tc>
          <w:tcPr>
            <w:tcW w:w="0" w:type="auto"/>
            <w:vAlign w:val="center"/>
          </w:tcPr>
          <w:p w:rsidR="00CA4810" w:rsidRPr="00CA4810" w:rsidRDefault="00336A16" w:rsidP="00CA4810">
            <w:pPr>
              <w:pStyle w:val="Zarkazkladnhotextu3"/>
              <w:ind w:left="0" w:firstLine="709"/>
              <w:rPr>
                <w:sz w:val="24"/>
                <w:szCs w:val="24"/>
                <w:lang w:val="en-US"/>
              </w:rPr>
            </w:pPr>
            <w:r w:rsidRPr="00336A16">
              <w:rPr>
                <w:rStyle w:val="longtext"/>
                <w:sz w:val="24"/>
                <w:szCs w:val="24"/>
                <w:shd w:val="clear" w:color="auto" w:fill="FFFFFF"/>
                <w:lang w:val="en-US"/>
              </w:rPr>
              <w:t xml:space="preserve">The aim of this work is to apply Administrative Procedure Act into trade business and also to analyze the development of the legal form of trade business in the Slovak Republic and its individual areas, </w:t>
            </w:r>
            <w:r w:rsidRPr="00336A16">
              <w:rPr>
                <w:rStyle w:val="longtext"/>
                <w:sz w:val="24"/>
                <w:szCs w:val="24"/>
                <w:lang w:val="en-US"/>
              </w:rPr>
              <w:t>exploring change in the number of decisions issued in the field of trade business and analysis of selected business entity operating on the basis of trade license business.</w:t>
            </w:r>
            <w:r w:rsidR="00CA4810" w:rsidRPr="00336A16">
              <w:rPr>
                <w:rStyle w:val="longtext"/>
                <w:sz w:val="24"/>
                <w:szCs w:val="24"/>
                <w:shd w:val="clear" w:color="auto" w:fill="FFFFFF"/>
                <w:lang w:val="en-US"/>
              </w:rPr>
              <w:t xml:space="preserve"> The fulfillm</w:t>
            </w:r>
            <w:r w:rsidR="00CA4810" w:rsidRPr="00CA4810">
              <w:rPr>
                <w:rStyle w:val="longtext"/>
                <w:sz w:val="24"/>
                <w:szCs w:val="24"/>
                <w:shd w:val="clear" w:color="auto" w:fill="FFFFFF"/>
                <w:lang w:val="en-US"/>
              </w:rPr>
              <w:t xml:space="preserve">ent of this aim was a careful study of information resources and the subsequent evaluation process. The basic law which modifies the procedural process of public authorities in deciding on the rights and obligations of parties to administrative procedure is law n. </w:t>
            </w:r>
            <w:r w:rsidR="00CA4810" w:rsidRPr="00CA4810">
              <w:rPr>
                <w:rStyle w:val="longtext"/>
                <w:sz w:val="24"/>
                <w:szCs w:val="24"/>
                <w:lang w:val="en-US"/>
              </w:rPr>
              <w:t xml:space="preserve">71/1967 about the </w:t>
            </w:r>
            <w:r w:rsidR="00CA4810" w:rsidRPr="00CA4810">
              <w:rPr>
                <w:rStyle w:val="longtext"/>
                <w:sz w:val="24"/>
                <w:szCs w:val="24"/>
                <w:shd w:val="clear" w:color="auto" w:fill="FFFFFF"/>
                <w:lang w:val="en-US"/>
              </w:rPr>
              <w:t xml:space="preserve">administrative procedure. Although the Administrative Procedure Act applies for almost 43 years, only three amendments are taken place, which makes it one of the most stable laws in the law system of the Slovak Republic. But it is only general rule, against special laws takes the alternative position. One of these special laws, according to the decision-making in certain cases modifies more or less deviation from the general rules, is the most common legal form of business individuals in the Slovak Republic - trade business, regulated by law n. </w:t>
            </w:r>
            <w:r w:rsidR="00CA4810" w:rsidRPr="00CA4810">
              <w:rPr>
                <w:rStyle w:val="longtext"/>
                <w:sz w:val="24"/>
                <w:szCs w:val="24"/>
                <w:lang w:val="en-US"/>
              </w:rPr>
              <w:t xml:space="preserve">455/1991 about trade license business. By comparing the Administrative Procedure Act and the Trade Act, we found that these differences refer to trade office, which issues a decision of trade licenses business and procedures for imposing fines. For successful business, they should be made </w:t>
            </w:r>
            <w:r w:rsidR="00CA4810" w:rsidRPr="00CA4810">
              <w:rPr>
                <w:rStyle w:val="longtext"/>
                <w:sz w:val="24"/>
                <w:szCs w:val="24"/>
                <w:shd w:val="clear" w:color="auto" w:fill="FFFFFF"/>
                <w:lang w:val="en-US"/>
              </w:rPr>
              <w:t xml:space="preserve">suitable subjective and objective conditions. To reduce disparities in economic efficiency of regions contributes aid but also the Structural Funds of EU. </w:t>
            </w:r>
            <w:r w:rsidR="00CA4810" w:rsidRPr="00CA4810">
              <w:rPr>
                <w:sz w:val="24"/>
                <w:szCs w:val="24"/>
                <w:lang w:val="en-US"/>
              </w:rPr>
              <w:t xml:space="preserve"> </w:t>
            </w:r>
          </w:p>
          <w:p w:rsidR="00CA4810" w:rsidRPr="00C40815" w:rsidRDefault="00CA4810" w:rsidP="00CA4810">
            <w:pPr>
              <w:pStyle w:val="Obsah1"/>
              <w:rPr>
                <w:caps/>
                <w:lang w:val="en-US"/>
              </w:rPr>
            </w:pPr>
          </w:p>
          <w:p w:rsidR="00A727DA" w:rsidRDefault="00CA4810" w:rsidP="00956A22">
            <w:pPr>
              <w:pStyle w:val="ZPNormalnyText"/>
              <w:rPr>
                <w:b/>
                <w:bCs/>
                <w:sz w:val="32"/>
              </w:rPr>
            </w:pPr>
            <w:r w:rsidRPr="00C40815">
              <w:rPr>
                <w:b/>
                <w:lang w:val="en-US"/>
              </w:rPr>
              <w:t xml:space="preserve">Key words: </w:t>
            </w:r>
            <w:r w:rsidRPr="00C40815">
              <w:rPr>
                <w:lang w:val="en-US"/>
              </w:rPr>
              <w:t xml:space="preserve">Public Administration, Administrative Procedure Act, Trade Act, Trade Office, </w:t>
            </w:r>
            <w:r>
              <w:rPr>
                <w:lang w:val="en-US"/>
              </w:rPr>
              <w:t xml:space="preserve">Trade </w:t>
            </w:r>
            <w:r w:rsidRPr="00C40815">
              <w:rPr>
                <w:lang w:val="en-US"/>
              </w:rPr>
              <w:t>Business</w:t>
            </w:r>
          </w:p>
        </w:tc>
      </w:tr>
    </w:tbl>
    <w:p w:rsidR="00A727DA" w:rsidRDefault="00A727DA" w:rsidP="00956A22">
      <w:pPr>
        <w:pStyle w:val="ZPNormalnyText"/>
        <w:sectPr w:rsidR="00A727DA">
          <w:headerReference w:type="default" r:id="rId12"/>
          <w:pgSz w:w="11906" w:h="16838"/>
          <w:pgMar w:top="899" w:right="1418" w:bottom="1418" w:left="1985" w:header="851" w:footer="680" w:gutter="0"/>
          <w:cols w:space="708"/>
        </w:sectPr>
      </w:pPr>
    </w:p>
    <w:p w:rsidR="00A727DA" w:rsidRDefault="00A727DA" w:rsidP="00405E53">
      <w:pPr>
        <w:pStyle w:val="ZPNadpisKapitolyTimesNewRoman"/>
        <w:numPr>
          <w:ilvl w:val="0"/>
          <w:numId w:val="0"/>
        </w:numPr>
        <w:ind w:left="432" w:hanging="432"/>
      </w:pPr>
      <w:bookmarkStart w:id="8" w:name="_Toc241977223"/>
      <w:r>
        <w:lastRenderedPageBreak/>
        <w:t>Obsah</w:t>
      </w:r>
      <w:bookmarkEnd w:id="8"/>
    </w:p>
    <w:p w:rsidR="00A727DA" w:rsidRDefault="00404D24">
      <w:pPr>
        <w:pStyle w:val="Obsah1"/>
        <w:rPr>
          <w:rFonts w:ascii="Calibri" w:hAnsi="Calibri"/>
          <w:b w:val="0"/>
          <w:bCs w:val="0"/>
          <w:sz w:val="22"/>
          <w:szCs w:val="22"/>
          <w:lang w:eastAsia="sk-SK"/>
        </w:rPr>
      </w:pPr>
      <w:r w:rsidRPr="00404D24">
        <w:rPr>
          <w:b w:val="0"/>
          <w:bCs w:val="0"/>
          <w:caps/>
        </w:rPr>
        <w:fldChar w:fldCharType="begin"/>
      </w:r>
      <w:r w:rsidR="00A727DA">
        <w:rPr>
          <w:b w:val="0"/>
          <w:bCs w:val="0"/>
          <w:caps/>
        </w:rPr>
        <w:instrText xml:space="preserve"> TOC \h \o "1-3" \z </w:instrText>
      </w:r>
      <w:r w:rsidRPr="00404D24">
        <w:rPr>
          <w:b w:val="0"/>
          <w:bCs w:val="0"/>
          <w:caps/>
        </w:rPr>
        <w:fldChar w:fldCharType="separate"/>
      </w:r>
      <w:hyperlink w:anchor="_Toc241977223" w:history="1">
        <w:r w:rsidR="00A727DA">
          <w:rPr>
            <w:rStyle w:val="Hypertextovprepojenie"/>
          </w:rPr>
          <w:t>Obsah</w:t>
        </w:r>
        <w:r w:rsidR="00A727DA">
          <w:rPr>
            <w:webHidden/>
          </w:rPr>
          <w:tab/>
        </w:r>
        <w:r w:rsidR="00C632DB">
          <w:rPr>
            <w:webHidden/>
          </w:rPr>
          <w:t>6</w:t>
        </w:r>
      </w:hyperlink>
    </w:p>
    <w:p w:rsidR="00A727DA" w:rsidRDefault="00404D24">
      <w:pPr>
        <w:pStyle w:val="Obsah1"/>
        <w:rPr>
          <w:rFonts w:ascii="Calibri" w:hAnsi="Calibri"/>
          <w:b w:val="0"/>
          <w:bCs w:val="0"/>
          <w:sz w:val="22"/>
          <w:szCs w:val="22"/>
          <w:lang w:eastAsia="sk-SK"/>
        </w:rPr>
      </w:pPr>
      <w:hyperlink w:anchor="_Toc241977228" w:history="1">
        <w:r w:rsidR="00A727DA">
          <w:rPr>
            <w:rStyle w:val="Hypertextovprepojenie"/>
          </w:rPr>
          <w:t>Úvod</w:t>
        </w:r>
        <w:r w:rsidR="00A727DA">
          <w:rPr>
            <w:webHidden/>
          </w:rPr>
          <w:tab/>
        </w:r>
        <w:r w:rsidR="00136606">
          <w:rPr>
            <w:webHidden/>
          </w:rPr>
          <w:t>8</w:t>
        </w:r>
      </w:hyperlink>
    </w:p>
    <w:p w:rsidR="00A727DA" w:rsidRDefault="00404D24">
      <w:pPr>
        <w:pStyle w:val="Obsah1"/>
        <w:rPr>
          <w:rFonts w:ascii="Calibri" w:hAnsi="Calibri"/>
          <w:b w:val="0"/>
          <w:bCs w:val="0"/>
          <w:sz w:val="22"/>
          <w:szCs w:val="22"/>
          <w:lang w:eastAsia="sk-SK"/>
        </w:rPr>
      </w:pPr>
      <w:hyperlink w:anchor="_Toc241977229" w:history="1">
        <w:r w:rsidR="00A727DA">
          <w:rPr>
            <w:rStyle w:val="Hypertextovprepojenie"/>
          </w:rPr>
          <w:t>1</w:t>
        </w:r>
        <w:r w:rsidR="00A727DA">
          <w:rPr>
            <w:rFonts w:ascii="Calibri" w:hAnsi="Calibri"/>
            <w:b w:val="0"/>
            <w:bCs w:val="0"/>
            <w:sz w:val="22"/>
            <w:szCs w:val="22"/>
            <w:lang w:eastAsia="sk-SK"/>
          </w:rPr>
          <w:tab/>
        </w:r>
        <w:r w:rsidR="00FB29CE">
          <w:rPr>
            <w:rStyle w:val="Hypertextovprepojenie"/>
          </w:rPr>
          <w:t>Súčasný stav riešenej problematiky doma a v zahraničí</w:t>
        </w:r>
        <w:r w:rsidR="00A727DA">
          <w:rPr>
            <w:webHidden/>
          </w:rPr>
          <w:tab/>
        </w:r>
        <w:r w:rsidR="00136606">
          <w:rPr>
            <w:webHidden/>
          </w:rPr>
          <w:t>9</w:t>
        </w:r>
      </w:hyperlink>
    </w:p>
    <w:p w:rsidR="00A727DA" w:rsidRDefault="00404D24">
      <w:pPr>
        <w:pStyle w:val="Obsah2"/>
        <w:rPr>
          <w:rFonts w:ascii="Calibri" w:hAnsi="Calibri"/>
          <w:sz w:val="22"/>
          <w:szCs w:val="22"/>
          <w:lang w:eastAsia="sk-SK"/>
        </w:rPr>
      </w:pPr>
      <w:hyperlink w:anchor="_Toc241977230" w:history="1">
        <w:r w:rsidR="00A727DA">
          <w:rPr>
            <w:rStyle w:val="Hypertextovprepojenie"/>
          </w:rPr>
          <w:t>1.1</w:t>
        </w:r>
        <w:r w:rsidR="00A727DA">
          <w:rPr>
            <w:rFonts w:ascii="Calibri" w:hAnsi="Calibri"/>
            <w:sz w:val="22"/>
            <w:szCs w:val="22"/>
            <w:lang w:eastAsia="sk-SK"/>
          </w:rPr>
          <w:tab/>
        </w:r>
        <w:r w:rsidR="00FB29CE">
          <w:rPr>
            <w:rStyle w:val="Hypertextovprepojenie"/>
          </w:rPr>
          <w:t>Charakteristika verejnej správy</w:t>
        </w:r>
        <w:r w:rsidR="00A727DA">
          <w:rPr>
            <w:webHidden/>
          </w:rPr>
          <w:tab/>
        </w:r>
        <w:r w:rsidR="00136606">
          <w:rPr>
            <w:webHidden/>
          </w:rPr>
          <w:t>9</w:t>
        </w:r>
      </w:hyperlink>
    </w:p>
    <w:p w:rsidR="00A727DA" w:rsidRDefault="00404D24">
      <w:pPr>
        <w:pStyle w:val="Obsah3"/>
        <w:rPr>
          <w:rStyle w:val="Hypertextovprepojenie"/>
        </w:rPr>
      </w:pPr>
      <w:hyperlink w:anchor="_Toc241977231" w:history="1">
        <w:r w:rsidR="00A727DA">
          <w:rPr>
            <w:rStyle w:val="Hypertextovprepojenie"/>
          </w:rPr>
          <w:t>1.1.1</w:t>
        </w:r>
        <w:r w:rsidR="00A727DA">
          <w:rPr>
            <w:rFonts w:ascii="Calibri" w:hAnsi="Calibri"/>
            <w:iCs w:val="0"/>
            <w:sz w:val="22"/>
            <w:szCs w:val="22"/>
            <w:lang w:eastAsia="sk-SK"/>
          </w:rPr>
          <w:tab/>
        </w:r>
        <w:r w:rsidR="00FB29CE">
          <w:rPr>
            <w:rStyle w:val="Hypertextovprepojenie"/>
          </w:rPr>
          <w:t>Správne právo ako osobitné právo verejnej správy</w:t>
        </w:r>
        <w:r w:rsidR="00A727DA">
          <w:rPr>
            <w:webHidden/>
          </w:rPr>
          <w:tab/>
        </w:r>
        <w:r w:rsidR="00136606">
          <w:rPr>
            <w:webHidden/>
          </w:rPr>
          <w:t>11</w:t>
        </w:r>
      </w:hyperlink>
    </w:p>
    <w:p w:rsidR="00FB29CE" w:rsidRDefault="00404D24" w:rsidP="00FB29CE">
      <w:pPr>
        <w:pStyle w:val="Obsah2"/>
        <w:rPr>
          <w:rFonts w:ascii="Calibri" w:hAnsi="Calibri"/>
          <w:sz w:val="22"/>
          <w:szCs w:val="22"/>
          <w:lang w:eastAsia="sk-SK"/>
        </w:rPr>
      </w:pPr>
      <w:hyperlink w:anchor="_Toc241977230" w:history="1">
        <w:r w:rsidR="00FB29CE">
          <w:rPr>
            <w:rStyle w:val="Hypertextovprepojenie"/>
          </w:rPr>
          <w:t>1.2</w:t>
        </w:r>
        <w:r w:rsidR="00FB29CE">
          <w:rPr>
            <w:rFonts w:ascii="Calibri" w:hAnsi="Calibri"/>
            <w:sz w:val="22"/>
            <w:szCs w:val="22"/>
            <w:lang w:eastAsia="sk-SK"/>
          </w:rPr>
          <w:tab/>
        </w:r>
        <w:r w:rsidR="00FB29CE">
          <w:rPr>
            <w:rStyle w:val="Hypertextovprepojenie"/>
          </w:rPr>
          <w:t>Správne právo procesné</w:t>
        </w:r>
        <w:r w:rsidR="00FB29CE">
          <w:rPr>
            <w:webHidden/>
          </w:rPr>
          <w:tab/>
        </w:r>
        <w:r w:rsidR="00136606">
          <w:rPr>
            <w:webHidden/>
          </w:rPr>
          <w:t>1</w:t>
        </w:r>
        <w:r>
          <w:rPr>
            <w:webHidden/>
          </w:rPr>
          <w:fldChar w:fldCharType="begin"/>
        </w:r>
        <w:r w:rsidR="00FB29CE">
          <w:rPr>
            <w:webHidden/>
          </w:rPr>
          <w:instrText xml:space="preserve"> PAGEREF _Toc241977230 \h </w:instrText>
        </w:r>
        <w:r>
          <w:rPr>
            <w:webHidden/>
          </w:rPr>
        </w:r>
        <w:r>
          <w:rPr>
            <w:webHidden/>
          </w:rPr>
          <w:fldChar w:fldCharType="separate"/>
        </w:r>
        <w:r w:rsidR="00FB29CE">
          <w:rPr>
            <w:webHidden/>
          </w:rPr>
          <w:t>2</w:t>
        </w:r>
        <w:r>
          <w:rPr>
            <w:webHidden/>
          </w:rPr>
          <w:fldChar w:fldCharType="end"/>
        </w:r>
      </w:hyperlink>
    </w:p>
    <w:p w:rsidR="00FB29CE" w:rsidRDefault="00404D24" w:rsidP="00FB29CE">
      <w:pPr>
        <w:pStyle w:val="Obsah3"/>
        <w:rPr>
          <w:rStyle w:val="Hypertextovprepojenie"/>
        </w:rPr>
      </w:pPr>
      <w:hyperlink w:anchor="_Toc241977231" w:history="1">
        <w:r w:rsidR="00FB29CE">
          <w:rPr>
            <w:rStyle w:val="Hypertextovprepojenie"/>
          </w:rPr>
          <w:t>1.2.1</w:t>
        </w:r>
        <w:r w:rsidR="00FB29CE">
          <w:rPr>
            <w:rFonts w:ascii="Calibri" w:hAnsi="Calibri"/>
            <w:iCs w:val="0"/>
            <w:sz w:val="22"/>
            <w:szCs w:val="22"/>
            <w:lang w:eastAsia="sk-SK"/>
          </w:rPr>
          <w:tab/>
        </w:r>
        <w:r w:rsidR="00FB29CE">
          <w:rPr>
            <w:rStyle w:val="Hypertextovprepojenie"/>
          </w:rPr>
          <w:t>Definícia a právna úprava správneho poriadku</w:t>
        </w:r>
        <w:r w:rsidR="00FB29CE">
          <w:rPr>
            <w:webHidden/>
          </w:rPr>
          <w:tab/>
        </w:r>
        <w:r w:rsidR="00136606">
          <w:rPr>
            <w:webHidden/>
          </w:rPr>
          <w:t>1</w:t>
        </w:r>
        <w:r>
          <w:rPr>
            <w:webHidden/>
          </w:rPr>
          <w:fldChar w:fldCharType="begin"/>
        </w:r>
        <w:r w:rsidR="00FB29CE">
          <w:rPr>
            <w:webHidden/>
          </w:rPr>
          <w:instrText xml:space="preserve"> PAGEREF _Toc241977231 \h </w:instrText>
        </w:r>
        <w:r>
          <w:rPr>
            <w:webHidden/>
          </w:rPr>
        </w:r>
        <w:r>
          <w:rPr>
            <w:webHidden/>
          </w:rPr>
          <w:fldChar w:fldCharType="separate"/>
        </w:r>
        <w:r w:rsidR="00FB29CE">
          <w:rPr>
            <w:webHidden/>
          </w:rPr>
          <w:t>2</w:t>
        </w:r>
        <w:r>
          <w:rPr>
            <w:webHidden/>
          </w:rPr>
          <w:fldChar w:fldCharType="end"/>
        </w:r>
      </w:hyperlink>
    </w:p>
    <w:p w:rsidR="00A727DA" w:rsidRDefault="00404D24" w:rsidP="00FB29CE">
      <w:pPr>
        <w:pStyle w:val="Obsah3"/>
        <w:ind w:left="1134" w:hanging="737"/>
        <w:rPr>
          <w:rStyle w:val="Hypertextovprepojenie"/>
        </w:rPr>
      </w:pPr>
      <w:hyperlink w:anchor="_Toc241977232" w:history="1">
        <w:r w:rsidR="00A727DA">
          <w:rPr>
            <w:rStyle w:val="Hypertextovprepojenie"/>
          </w:rPr>
          <w:t>1.</w:t>
        </w:r>
        <w:r w:rsidR="00FB29CE">
          <w:rPr>
            <w:rStyle w:val="Hypertextovprepojenie"/>
          </w:rPr>
          <w:t>2</w:t>
        </w:r>
        <w:r w:rsidR="00A727DA">
          <w:rPr>
            <w:rStyle w:val="Hypertextovprepojenie"/>
          </w:rPr>
          <w:t>.2</w:t>
        </w:r>
        <w:r w:rsidR="00A727DA">
          <w:rPr>
            <w:rFonts w:ascii="Calibri" w:hAnsi="Calibri"/>
            <w:iCs w:val="0"/>
            <w:sz w:val="22"/>
            <w:szCs w:val="22"/>
            <w:lang w:eastAsia="sk-SK"/>
          </w:rPr>
          <w:tab/>
        </w:r>
        <w:r w:rsidR="00FB29CE">
          <w:rPr>
            <w:rStyle w:val="Hypertextovprepojenie"/>
          </w:rPr>
          <w:t>Rozhodnutia vydané v správnom konaní a možnosť podania opravného prostriedku</w:t>
        </w:r>
        <w:r w:rsidR="00A727DA">
          <w:rPr>
            <w:webHidden/>
          </w:rPr>
          <w:tab/>
        </w:r>
        <w:r w:rsidR="00136606">
          <w:rPr>
            <w:webHidden/>
          </w:rPr>
          <w:t>14</w:t>
        </w:r>
      </w:hyperlink>
    </w:p>
    <w:p w:rsidR="00FB29CE" w:rsidRDefault="00404D24" w:rsidP="00FB29CE">
      <w:pPr>
        <w:pStyle w:val="Obsah2"/>
        <w:rPr>
          <w:rFonts w:ascii="Calibri" w:hAnsi="Calibri"/>
          <w:sz w:val="22"/>
          <w:szCs w:val="22"/>
          <w:lang w:eastAsia="sk-SK"/>
        </w:rPr>
      </w:pPr>
      <w:hyperlink w:anchor="_Toc241977230" w:history="1">
        <w:r w:rsidR="00FB29CE">
          <w:rPr>
            <w:rStyle w:val="Hypertextovprepojenie"/>
          </w:rPr>
          <w:t>1.3</w:t>
        </w:r>
        <w:r w:rsidR="00FB29CE">
          <w:rPr>
            <w:rFonts w:ascii="Calibri" w:hAnsi="Calibri"/>
            <w:sz w:val="22"/>
            <w:szCs w:val="22"/>
            <w:lang w:eastAsia="sk-SK"/>
          </w:rPr>
          <w:tab/>
        </w:r>
        <w:r w:rsidR="00FB29CE" w:rsidRPr="00FB29CE">
          <w:rPr>
            <w:rStyle w:val="Hypertextovprepojenie"/>
          </w:rPr>
          <w:t>Správne právo a sloboda podnikania v podmienkach EÚ</w:t>
        </w:r>
        <w:r w:rsidR="00FB29CE">
          <w:rPr>
            <w:webHidden/>
          </w:rPr>
          <w:tab/>
        </w:r>
        <w:r w:rsidR="00136606">
          <w:rPr>
            <w:webHidden/>
          </w:rPr>
          <w:t>16</w:t>
        </w:r>
      </w:hyperlink>
    </w:p>
    <w:p w:rsidR="00FB29CE" w:rsidRDefault="00404D24" w:rsidP="00FB29CE">
      <w:pPr>
        <w:pStyle w:val="Obsah3"/>
        <w:rPr>
          <w:rStyle w:val="Hypertextovprepojenie"/>
        </w:rPr>
      </w:pPr>
      <w:hyperlink w:anchor="_Toc241977231" w:history="1">
        <w:r w:rsidR="00FB29CE">
          <w:rPr>
            <w:rStyle w:val="Hypertextovprepojenie"/>
          </w:rPr>
          <w:t>1.3.1</w:t>
        </w:r>
        <w:r w:rsidR="00FB29CE">
          <w:rPr>
            <w:rFonts w:ascii="Calibri" w:hAnsi="Calibri"/>
            <w:iCs w:val="0"/>
            <w:sz w:val="22"/>
            <w:szCs w:val="22"/>
            <w:lang w:eastAsia="sk-SK"/>
          </w:rPr>
          <w:tab/>
        </w:r>
        <w:r w:rsidR="00FB29CE" w:rsidRPr="00FB29CE">
          <w:rPr>
            <w:rStyle w:val="Hypertextovprepojenie"/>
          </w:rPr>
          <w:t>Európske správne právo</w:t>
        </w:r>
        <w:r w:rsidR="00FB29CE">
          <w:rPr>
            <w:webHidden/>
          </w:rPr>
          <w:tab/>
        </w:r>
        <w:r w:rsidR="00136606">
          <w:rPr>
            <w:webHidden/>
          </w:rPr>
          <w:t>16</w:t>
        </w:r>
      </w:hyperlink>
    </w:p>
    <w:p w:rsidR="00FB29CE" w:rsidRDefault="00404D24" w:rsidP="00FB29CE">
      <w:pPr>
        <w:pStyle w:val="Obsah3"/>
        <w:rPr>
          <w:rStyle w:val="Hypertextovprepojenie"/>
        </w:rPr>
      </w:pPr>
      <w:hyperlink w:anchor="_Toc241977231" w:history="1">
        <w:r w:rsidR="00FB29CE">
          <w:rPr>
            <w:rStyle w:val="Hypertextovprepojenie"/>
          </w:rPr>
          <w:t>1.3.2</w:t>
        </w:r>
        <w:r w:rsidR="00FB29CE">
          <w:rPr>
            <w:rFonts w:ascii="Calibri" w:hAnsi="Calibri"/>
            <w:iCs w:val="0"/>
            <w:sz w:val="22"/>
            <w:szCs w:val="22"/>
            <w:lang w:eastAsia="sk-SK"/>
          </w:rPr>
          <w:tab/>
        </w:r>
        <w:r w:rsidR="00FB29CE" w:rsidRPr="00FB29CE">
          <w:rPr>
            <w:rStyle w:val="Hypertextovprepojenie"/>
          </w:rPr>
          <w:t>Sloboda podnikania v členských štátoch EÚ</w:t>
        </w:r>
        <w:r w:rsidR="00FB29CE">
          <w:rPr>
            <w:webHidden/>
          </w:rPr>
          <w:tab/>
        </w:r>
        <w:r w:rsidR="00136606">
          <w:rPr>
            <w:webHidden/>
          </w:rPr>
          <w:t>18</w:t>
        </w:r>
      </w:hyperlink>
    </w:p>
    <w:p w:rsidR="00FB29CE" w:rsidRDefault="00404D24" w:rsidP="00FB29CE">
      <w:pPr>
        <w:pStyle w:val="Obsah2"/>
        <w:rPr>
          <w:rFonts w:ascii="Calibri" w:hAnsi="Calibri"/>
          <w:sz w:val="22"/>
          <w:szCs w:val="22"/>
          <w:lang w:eastAsia="sk-SK"/>
        </w:rPr>
      </w:pPr>
      <w:hyperlink w:anchor="_Toc241977230" w:history="1">
        <w:r w:rsidR="00FB29CE">
          <w:rPr>
            <w:rStyle w:val="Hypertextovprepojenie"/>
          </w:rPr>
          <w:t>1.4</w:t>
        </w:r>
        <w:r w:rsidR="00FB29CE">
          <w:rPr>
            <w:rFonts w:ascii="Calibri" w:hAnsi="Calibri"/>
            <w:sz w:val="22"/>
            <w:szCs w:val="22"/>
            <w:lang w:eastAsia="sk-SK"/>
          </w:rPr>
          <w:tab/>
        </w:r>
        <w:r w:rsidR="00FB29CE" w:rsidRPr="00FB29CE">
          <w:rPr>
            <w:rStyle w:val="Hypertextovprepojenie"/>
          </w:rPr>
          <w:t>Živnostenské podnikanie v podmienkach Slovenskej republiky</w:t>
        </w:r>
        <w:r w:rsidR="00FB29CE">
          <w:rPr>
            <w:webHidden/>
          </w:rPr>
          <w:tab/>
        </w:r>
        <w:r>
          <w:rPr>
            <w:webHidden/>
          </w:rPr>
          <w:fldChar w:fldCharType="begin"/>
        </w:r>
        <w:r w:rsidR="00FB29CE">
          <w:rPr>
            <w:webHidden/>
          </w:rPr>
          <w:instrText xml:space="preserve"> PAGEREF _Toc241977230 \h </w:instrText>
        </w:r>
        <w:r>
          <w:rPr>
            <w:webHidden/>
          </w:rPr>
        </w:r>
        <w:r>
          <w:rPr>
            <w:webHidden/>
          </w:rPr>
          <w:fldChar w:fldCharType="separate"/>
        </w:r>
        <w:r w:rsidR="00FB29CE">
          <w:rPr>
            <w:webHidden/>
          </w:rPr>
          <w:t>2</w:t>
        </w:r>
        <w:r>
          <w:rPr>
            <w:webHidden/>
          </w:rPr>
          <w:fldChar w:fldCharType="end"/>
        </w:r>
      </w:hyperlink>
      <w:r w:rsidR="00136606">
        <w:t>0</w:t>
      </w:r>
    </w:p>
    <w:p w:rsidR="00FB29CE" w:rsidRDefault="00404D24" w:rsidP="00FB29CE">
      <w:pPr>
        <w:pStyle w:val="Obsah3"/>
        <w:rPr>
          <w:rStyle w:val="Hypertextovprepojenie"/>
        </w:rPr>
      </w:pPr>
      <w:hyperlink w:anchor="_Toc241977231" w:history="1">
        <w:r w:rsidR="00FB29CE">
          <w:rPr>
            <w:rStyle w:val="Hypertextovprepojenie"/>
          </w:rPr>
          <w:t>1.4.1</w:t>
        </w:r>
        <w:r w:rsidR="00FB29CE">
          <w:rPr>
            <w:rFonts w:ascii="Calibri" w:hAnsi="Calibri"/>
            <w:iCs w:val="0"/>
            <w:sz w:val="22"/>
            <w:szCs w:val="22"/>
            <w:lang w:eastAsia="sk-SK"/>
          </w:rPr>
          <w:tab/>
        </w:r>
        <w:r w:rsidR="00FB29CE" w:rsidRPr="00FB29CE">
          <w:rPr>
            <w:rStyle w:val="Hypertextovprepojenie"/>
          </w:rPr>
          <w:t>Definícia a právna úprava živnostenského podnikania</w:t>
        </w:r>
        <w:r w:rsidR="00FB29CE">
          <w:rPr>
            <w:webHidden/>
          </w:rPr>
          <w:tab/>
        </w:r>
        <w:r>
          <w:rPr>
            <w:webHidden/>
          </w:rPr>
          <w:fldChar w:fldCharType="begin"/>
        </w:r>
        <w:r w:rsidR="00FB29CE">
          <w:rPr>
            <w:webHidden/>
          </w:rPr>
          <w:instrText xml:space="preserve"> PAGEREF _Toc241977231 \h </w:instrText>
        </w:r>
        <w:r>
          <w:rPr>
            <w:webHidden/>
          </w:rPr>
        </w:r>
        <w:r>
          <w:rPr>
            <w:webHidden/>
          </w:rPr>
          <w:fldChar w:fldCharType="separate"/>
        </w:r>
        <w:r w:rsidR="00FB29CE">
          <w:rPr>
            <w:webHidden/>
          </w:rPr>
          <w:t>2</w:t>
        </w:r>
        <w:r>
          <w:rPr>
            <w:webHidden/>
          </w:rPr>
          <w:fldChar w:fldCharType="end"/>
        </w:r>
      </w:hyperlink>
      <w:r w:rsidR="00136606">
        <w:t>0</w:t>
      </w:r>
    </w:p>
    <w:p w:rsidR="00FB29CE" w:rsidRDefault="00404D24" w:rsidP="00FB29CE">
      <w:pPr>
        <w:pStyle w:val="Obsah3"/>
        <w:rPr>
          <w:rStyle w:val="Hypertextovprepojenie"/>
        </w:rPr>
      </w:pPr>
      <w:hyperlink w:anchor="_Toc241977231" w:history="1">
        <w:r w:rsidR="00FB29CE">
          <w:rPr>
            <w:rStyle w:val="Hypertextovprepojenie"/>
          </w:rPr>
          <w:t>1.4.2</w:t>
        </w:r>
        <w:r w:rsidR="00FB29CE">
          <w:rPr>
            <w:rFonts w:ascii="Calibri" w:hAnsi="Calibri"/>
            <w:iCs w:val="0"/>
            <w:sz w:val="22"/>
            <w:szCs w:val="22"/>
            <w:lang w:eastAsia="sk-SK"/>
          </w:rPr>
          <w:tab/>
        </w:r>
        <w:r w:rsidR="00FB29CE" w:rsidRPr="00FB29CE">
          <w:rPr>
            <w:rStyle w:val="Hypertextovprepojenie"/>
          </w:rPr>
          <w:t>Druhy živností</w:t>
        </w:r>
        <w:r w:rsidR="00FB29CE">
          <w:rPr>
            <w:webHidden/>
          </w:rPr>
          <w:tab/>
        </w:r>
        <w:r>
          <w:rPr>
            <w:webHidden/>
          </w:rPr>
          <w:fldChar w:fldCharType="begin"/>
        </w:r>
        <w:r w:rsidR="00FB29CE">
          <w:rPr>
            <w:webHidden/>
          </w:rPr>
          <w:instrText xml:space="preserve"> PAGEREF _Toc241977231 \h </w:instrText>
        </w:r>
        <w:r>
          <w:rPr>
            <w:webHidden/>
          </w:rPr>
        </w:r>
        <w:r>
          <w:rPr>
            <w:webHidden/>
          </w:rPr>
          <w:fldChar w:fldCharType="separate"/>
        </w:r>
        <w:r w:rsidR="00FB29CE">
          <w:rPr>
            <w:webHidden/>
          </w:rPr>
          <w:t>2</w:t>
        </w:r>
        <w:r>
          <w:rPr>
            <w:webHidden/>
          </w:rPr>
          <w:fldChar w:fldCharType="end"/>
        </w:r>
      </w:hyperlink>
      <w:r w:rsidR="00136606">
        <w:t>2</w:t>
      </w:r>
    </w:p>
    <w:p w:rsidR="00FB29CE" w:rsidRDefault="00404D24" w:rsidP="00FB29CE">
      <w:pPr>
        <w:pStyle w:val="Obsah3"/>
        <w:rPr>
          <w:rStyle w:val="Hypertextovprepojenie"/>
        </w:rPr>
      </w:pPr>
      <w:hyperlink w:anchor="_Toc241977231" w:history="1">
        <w:r w:rsidR="00FB29CE">
          <w:rPr>
            <w:rStyle w:val="Hypertextovprepojenie"/>
          </w:rPr>
          <w:t>1.4.3</w:t>
        </w:r>
        <w:r w:rsidR="00FB29CE">
          <w:rPr>
            <w:rFonts w:ascii="Calibri" w:hAnsi="Calibri"/>
            <w:iCs w:val="0"/>
            <w:sz w:val="22"/>
            <w:szCs w:val="22"/>
            <w:lang w:eastAsia="sk-SK"/>
          </w:rPr>
          <w:tab/>
        </w:r>
        <w:r w:rsidR="00FB29CE" w:rsidRPr="00FB29CE">
          <w:rPr>
            <w:rStyle w:val="Hypertextovprepojenie"/>
          </w:rPr>
          <w:t>Subjekt a podmienky živnostenského podnikania</w:t>
        </w:r>
        <w:r w:rsidR="00FB29CE">
          <w:rPr>
            <w:webHidden/>
          </w:rPr>
          <w:tab/>
        </w:r>
        <w:r>
          <w:rPr>
            <w:webHidden/>
          </w:rPr>
          <w:fldChar w:fldCharType="begin"/>
        </w:r>
        <w:r w:rsidR="00FB29CE">
          <w:rPr>
            <w:webHidden/>
          </w:rPr>
          <w:instrText xml:space="preserve"> PAGEREF _Toc241977231 \h </w:instrText>
        </w:r>
        <w:r>
          <w:rPr>
            <w:webHidden/>
          </w:rPr>
        </w:r>
        <w:r>
          <w:rPr>
            <w:webHidden/>
          </w:rPr>
          <w:fldChar w:fldCharType="separate"/>
        </w:r>
        <w:r w:rsidR="00FB29CE">
          <w:rPr>
            <w:webHidden/>
          </w:rPr>
          <w:t>2</w:t>
        </w:r>
        <w:r>
          <w:rPr>
            <w:webHidden/>
          </w:rPr>
          <w:fldChar w:fldCharType="end"/>
        </w:r>
      </w:hyperlink>
      <w:r w:rsidR="00136606">
        <w:t>3</w:t>
      </w:r>
    </w:p>
    <w:p w:rsidR="00FB29CE" w:rsidRDefault="00404D24" w:rsidP="00FB29CE">
      <w:pPr>
        <w:pStyle w:val="Obsah3"/>
        <w:rPr>
          <w:rStyle w:val="Hypertextovprepojenie"/>
        </w:rPr>
      </w:pPr>
      <w:hyperlink w:anchor="_Toc241977231" w:history="1">
        <w:r w:rsidR="00FB29CE">
          <w:rPr>
            <w:rStyle w:val="Hypertextovprepojenie"/>
          </w:rPr>
          <w:t>1.4.4</w:t>
        </w:r>
        <w:r w:rsidR="00FB29CE">
          <w:rPr>
            <w:rFonts w:ascii="Calibri" w:hAnsi="Calibri"/>
            <w:iCs w:val="0"/>
            <w:sz w:val="22"/>
            <w:szCs w:val="22"/>
            <w:lang w:eastAsia="sk-SK"/>
          </w:rPr>
          <w:tab/>
        </w:r>
        <w:r w:rsidR="00FB29CE" w:rsidRPr="00FB29CE">
          <w:rPr>
            <w:rStyle w:val="Hypertextovprepojenie"/>
          </w:rPr>
          <w:t>Oprávnenie vykonávať živnostenské podnikanie</w:t>
        </w:r>
        <w:r w:rsidR="00FB29CE">
          <w:rPr>
            <w:webHidden/>
          </w:rPr>
          <w:tab/>
        </w:r>
        <w:r>
          <w:rPr>
            <w:webHidden/>
          </w:rPr>
          <w:fldChar w:fldCharType="begin"/>
        </w:r>
        <w:r w:rsidR="00FB29CE">
          <w:rPr>
            <w:webHidden/>
          </w:rPr>
          <w:instrText xml:space="preserve"> PAGEREF _Toc241977231 \h </w:instrText>
        </w:r>
        <w:r>
          <w:rPr>
            <w:webHidden/>
          </w:rPr>
        </w:r>
        <w:r>
          <w:rPr>
            <w:webHidden/>
          </w:rPr>
          <w:fldChar w:fldCharType="separate"/>
        </w:r>
        <w:r w:rsidR="00FB29CE">
          <w:rPr>
            <w:webHidden/>
          </w:rPr>
          <w:t>2</w:t>
        </w:r>
        <w:r>
          <w:rPr>
            <w:webHidden/>
          </w:rPr>
          <w:fldChar w:fldCharType="end"/>
        </w:r>
      </w:hyperlink>
      <w:r w:rsidR="00136606">
        <w:t>8</w:t>
      </w:r>
    </w:p>
    <w:p w:rsidR="00A727DA" w:rsidRDefault="00404D24">
      <w:pPr>
        <w:pStyle w:val="Obsah1"/>
        <w:rPr>
          <w:rStyle w:val="Hypertextovprepojenie"/>
        </w:rPr>
      </w:pPr>
      <w:hyperlink w:anchor="_Toc241977233" w:history="1">
        <w:r w:rsidR="00A727DA">
          <w:rPr>
            <w:rStyle w:val="Hypertextovprepojenie"/>
          </w:rPr>
          <w:t>2</w:t>
        </w:r>
        <w:r w:rsidR="00A727DA">
          <w:rPr>
            <w:rFonts w:ascii="Calibri" w:hAnsi="Calibri"/>
            <w:b w:val="0"/>
            <w:bCs w:val="0"/>
            <w:sz w:val="22"/>
            <w:szCs w:val="22"/>
            <w:lang w:eastAsia="sk-SK"/>
          </w:rPr>
          <w:tab/>
        </w:r>
        <w:r w:rsidR="00A727DA">
          <w:rPr>
            <w:rStyle w:val="Hypertextovprepojenie"/>
          </w:rPr>
          <w:t>Cieľ práce</w:t>
        </w:r>
        <w:r w:rsidR="00A727DA">
          <w:rPr>
            <w:webHidden/>
          </w:rPr>
          <w:tab/>
        </w:r>
        <w:r w:rsidR="00136606">
          <w:rPr>
            <w:webHidden/>
          </w:rPr>
          <w:t>30</w:t>
        </w:r>
      </w:hyperlink>
    </w:p>
    <w:p w:rsidR="00A727DA" w:rsidRDefault="00404D24" w:rsidP="00A727DA">
      <w:pPr>
        <w:pStyle w:val="Obsah1"/>
        <w:rPr>
          <w:rFonts w:ascii="Calibri" w:hAnsi="Calibri"/>
          <w:b w:val="0"/>
          <w:bCs w:val="0"/>
          <w:sz w:val="22"/>
          <w:szCs w:val="22"/>
          <w:lang w:eastAsia="sk-SK"/>
        </w:rPr>
      </w:pPr>
      <w:hyperlink w:anchor="_Toc241977229" w:history="1">
        <w:r w:rsidR="00A727DA">
          <w:rPr>
            <w:rStyle w:val="Hypertextovprepojenie"/>
          </w:rPr>
          <w:t>3</w:t>
        </w:r>
        <w:r w:rsidR="00A727DA">
          <w:rPr>
            <w:rFonts w:ascii="Calibri" w:hAnsi="Calibri"/>
            <w:b w:val="0"/>
            <w:bCs w:val="0"/>
            <w:sz w:val="22"/>
            <w:szCs w:val="22"/>
            <w:lang w:eastAsia="sk-SK"/>
          </w:rPr>
          <w:tab/>
        </w:r>
        <w:r w:rsidR="00A727DA">
          <w:rPr>
            <w:rStyle w:val="Hypertextovprepojenie"/>
          </w:rPr>
          <w:t>Metodika práce a metodika skúmania</w:t>
        </w:r>
        <w:r w:rsidR="00A727DA">
          <w:rPr>
            <w:webHidden/>
          </w:rPr>
          <w:tab/>
        </w:r>
        <w:r w:rsidR="00136606">
          <w:rPr>
            <w:webHidden/>
          </w:rPr>
          <w:t>31</w:t>
        </w:r>
      </w:hyperlink>
    </w:p>
    <w:p w:rsidR="00A727DA" w:rsidRDefault="00404D24" w:rsidP="00A727DA">
      <w:pPr>
        <w:pStyle w:val="Obsah1"/>
        <w:rPr>
          <w:rFonts w:ascii="Calibri" w:hAnsi="Calibri"/>
          <w:b w:val="0"/>
          <w:bCs w:val="0"/>
          <w:sz w:val="22"/>
          <w:szCs w:val="22"/>
          <w:lang w:eastAsia="sk-SK"/>
        </w:rPr>
      </w:pPr>
      <w:hyperlink w:anchor="_Toc241977229" w:history="1">
        <w:r w:rsidR="00A727DA">
          <w:rPr>
            <w:rStyle w:val="Hypertextovprepojenie"/>
          </w:rPr>
          <w:t>4</w:t>
        </w:r>
        <w:r w:rsidR="00A727DA">
          <w:rPr>
            <w:rFonts w:ascii="Calibri" w:hAnsi="Calibri"/>
            <w:b w:val="0"/>
            <w:bCs w:val="0"/>
            <w:sz w:val="22"/>
            <w:szCs w:val="22"/>
            <w:lang w:eastAsia="sk-SK"/>
          </w:rPr>
          <w:tab/>
        </w:r>
        <w:r w:rsidR="00A727DA">
          <w:rPr>
            <w:rStyle w:val="Hypertextovprepojenie"/>
          </w:rPr>
          <w:t>Výsledky práce</w:t>
        </w:r>
        <w:r w:rsidR="00A727DA">
          <w:rPr>
            <w:webHidden/>
          </w:rPr>
          <w:tab/>
        </w:r>
        <w:r w:rsidR="00136606">
          <w:rPr>
            <w:webHidden/>
          </w:rPr>
          <w:t>3</w:t>
        </w:r>
        <w:r>
          <w:rPr>
            <w:webHidden/>
          </w:rPr>
          <w:fldChar w:fldCharType="begin"/>
        </w:r>
        <w:r w:rsidR="00A727DA">
          <w:rPr>
            <w:webHidden/>
          </w:rPr>
          <w:instrText xml:space="preserve"> PAGEREF _Toc241977229 \h </w:instrText>
        </w:r>
        <w:r>
          <w:rPr>
            <w:webHidden/>
          </w:rPr>
        </w:r>
        <w:r>
          <w:rPr>
            <w:webHidden/>
          </w:rPr>
          <w:fldChar w:fldCharType="separate"/>
        </w:r>
        <w:r w:rsidR="00A727DA">
          <w:rPr>
            <w:webHidden/>
          </w:rPr>
          <w:t>2</w:t>
        </w:r>
        <w:r>
          <w:rPr>
            <w:webHidden/>
          </w:rPr>
          <w:fldChar w:fldCharType="end"/>
        </w:r>
      </w:hyperlink>
    </w:p>
    <w:p w:rsidR="00A727DA" w:rsidRDefault="00404D24" w:rsidP="00A727DA">
      <w:pPr>
        <w:pStyle w:val="Obsah2"/>
        <w:rPr>
          <w:rFonts w:ascii="Calibri" w:hAnsi="Calibri"/>
          <w:sz w:val="22"/>
          <w:szCs w:val="22"/>
          <w:lang w:eastAsia="sk-SK"/>
        </w:rPr>
      </w:pPr>
      <w:hyperlink w:anchor="_Toc241977230" w:history="1">
        <w:r w:rsidR="00A727DA">
          <w:rPr>
            <w:rStyle w:val="Hypertextovprepojenie"/>
          </w:rPr>
          <w:t>4.1</w:t>
        </w:r>
        <w:r w:rsidR="00A727DA">
          <w:rPr>
            <w:rFonts w:ascii="Calibri" w:hAnsi="Calibri"/>
            <w:sz w:val="22"/>
            <w:szCs w:val="22"/>
            <w:lang w:eastAsia="sk-SK"/>
          </w:rPr>
          <w:tab/>
        </w:r>
        <w:r w:rsidR="00A727DA" w:rsidRPr="00A727DA">
          <w:rPr>
            <w:rStyle w:val="Hypertextovprepojenie"/>
          </w:rPr>
          <w:t>Verejná správa a jej charakteristické črty</w:t>
        </w:r>
        <w:r w:rsidR="00A727DA">
          <w:rPr>
            <w:webHidden/>
          </w:rPr>
          <w:tab/>
        </w:r>
        <w:r w:rsidR="00136606">
          <w:rPr>
            <w:webHidden/>
          </w:rPr>
          <w:t>3</w:t>
        </w:r>
        <w:r>
          <w:rPr>
            <w:webHidden/>
          </w:rPr>
          <w:fldChar w:fldCharType="begin"/>
        </w:r>
        <w:r w:rsidR="00A727DA">
          <w:rPr>
            <w:webHidden/>
          </w:rPr>
          <w:instrText xml:space="preserve"> PAGEREF _Toc241977230 \h </w:instrText>
        </w:r>
        <w:r>
          <w:rPr>
            <w:webHidden/>
          </w:rPr>
        </w:r>
        <w:r>
          <w:rPr>
            <w:webHidden/>
          </w:rPr>
          <w:fldChar w:fldCharType="separate"/>
        </w:r>
        <w:r w:rsidR="00A727DA">
          <w:rPr>
            <w:webHidden/>
          </w:rPr>
          <w:t>2</w:t>
        </w:r>
        <w:r>
          <w:rPr>
            <w:webHidden/>
          </w:rPr>
          <w:fldChar w:fldCharType="end"/>
        </w:r>
      </w:hyperlink>
    </w:p>
    <w:p w:rsidR="00A727DA" w:rsidRDefault="00404D24" w:rsidP="00A727DA">
      <w:pPr>
        <w:pStyle w:val="Obsah3"/>
        <w:rPr>
          <w:rStyle w:val="Hypertextovprepojenie"/>
        </w:rPr>
      </w:pPr>
      <w:hyperlink w:anchor="_Toc241977231" w:history="1">
        <w:r w:rsidR="00A727DA">
          <w:rPr>
            <w:rStyle w:val="Hypertextovprepojenie"/>
          </w:rPr>
          <w:t>4.1.</w:t>
        </w:r>
        <w:r w:rsidR="00257616">
          <w:rPr>
            <w:rStyle w:val="Hypertextovprepojenie"/>
          </w:rPr>
          <w:t>1</w:t>
        </w:r>
        <w:r w:rsidR="00A727DA">
          <w:rPr>
            <w:rFonts w:ascii="Calibri" w:hAnsi="Calibri"/>
            <w:iCs w:val="0"/>
            <w:sz w:val="22"/>
            <w:szCs w:val="22"/>
            <w:lang w:eastAsia="sk-SK"/>
          </w:rPr>
          <w:tab/>
        </w:r>
        <w:r w:rsidR="00A727DA" w:rsidRPr="00A727DA">
          <w:rPr>
            <w:rStyle w:val="Hypertextovprepojenie"/>
          </w:rPr>
          <w:t>Reformy verejnej správy v Slovenskej republike</w:t>
        </w:r>
        <w:r w:rsidR="00A727DA">
          <w:rPr>
            <w:webHidden/>
          </w:rPr>
          <w:tab/>
        </w:r>
        <w:r w:rsidR="00136606">
          <w:rPr>
            <w:webHidden/>
          </w:rPr>
          <w:t>33</w:t>
        </w:r>
      </w:hyperlink>
    </w:p>
    <w:p w:rsidR="00A727DA" w:rsidRDefault="00404D24" w:rsidP="00A727DA">
      <w:pPr>
        <w:pStyle w:val="Obsah2"/>
        <w:rPr>
          <w:rFonts w:ascii="Calibri" w:hAnsi="Calibri"/>
          <w:sz w:val="22"/>
          <w:szCs w:val="22"/>
          <w:lang w:eastAsia="sk-SK"/>
        </w:rPr>
      </w:pPr>
      <w:hyperlink w:anchor="_Toc241977230" w:history="1">
        <w:r w:rsidR="00A727DA">
          <w:rPr>
            <w:rStyle w:val="Hypertextovprepojenie"/>
          </w:rPr>
          <w:t>4.2</w:t>
        </w:r>
        <w:r w:rsidR="00A727DA">
          <w:rPr>
            <w:rFonts w:ascii="Calibri" w:hAnsi="Calibri"/>
            <w:sz w:val="22"/>
            <w:szCs w:val="22"/>
            <w:lang w:eastAsia="sk-SK"/>
          </w:rPr>
          <w:tab/>
        </w:r>
        <w:r w:rsidR="00A727DA" w:rsidRPr="00A727DA">
          <w:rPr>
            <w:rStyle w:val="Hypertextovprepojenie"/>
          </w:rPr>
          <w:t>Organizačná štruktúra verejnej správy v Slovenskej republike</w:t>
        </w:r>
        <w:r w:rsidR="00A727DA">
          <w:rPr>
            <w:webHidden/>
          </w:rPr>
          <w:tab/>
        </w:r>
        <w:r w:rsidR="00136606">
          <w:rPr>
            <w:webHidden/>
          </w:rPr>
          <w:t>35</w:t>
        </w:r>
      </w:hyperlink>
    </w:p>
    <w:p w:rsidR="00A727DA" w:rsidRDefault="00404D24" w:rsidP="00A727DA">
      <w:pPr>
        <w:pStyle w:val="Obsah3"/>
        <w:rPr>
          <w:rStyle w:val="Hypertextovprepojenie"/>
        </w:rPr>
      </w:pPr>
      <w:hyperlink w:anchor="_Toc241977231" w:history="1">
        <w:r w:rsidR="00A727DA">
          <w:rPr>
            <w:rStyle w:val="Hypertextovprepojenie"/>
          </w:rPr>
          <w:t>4.2.1</w:t>
        </w:r>
        <w:r w:rsidR="00A727DA">
          <w:rPr>
            <w:rFonts w:ascii="Calibri" w:hAnsi="Calibri"/>
            <w:iCs w:val="0"/>
            <w:sz w:val="22"/>
            <w:szCs w:val="22"/>
            <w:lang w:eastAsia="sk-SK"/>
          </w:rPr>
          <w:tab/>
        </w:r>
        <w:r w:rsidR="00257616" w:rsidRPr="00257616">
          <w:rPr>
            <w:rStyle w:val="Hypertextovprepojenie"/>
          </w:rPr>
          <w:t>Ústredná štátna správa</w:t>
        </w:r>
        <w:r w:rsidR="00A727DA">
          <w:rPr>
            <w:webHidden/>
          </w:rPr>
          <w:tab/>
        </w:r>
        <w:r w:rsidR="00136606">
          <w:rPr>
            <w:webHidden/>
          </w:rPr>
          <w:t>36</w:t>
        </w:r>
      </w:hyperlink>
    </w:p>
    <w:p w:rsidR="00A727DA" w:rsidRDefault="00404D24" w:rsidP="00A727DA">
      <w:pPr>
        <w:pStyle w:val="Obsah3"/>
      </w:pPr>
      <w:hyperlink w:anchor="_Toc241977231" w:history="1">
        <w:r w:rsidR="00A727DA">
          <w:rPr>
            <w:rStyle w:val="Hypertextovprepojenie"/>
          </w:rPr>
          <w:t>4.2.2</w:t>
        </w:r>
        <w:r w:rsidR="00A727DA">
          <w:rPr>
            <w:rFonts w:ascii="Calibri" w:hAnsi="Calibri"/>
            <w:iCs w:val="0"/>
            <w:sz w:val="22"/>
            <w:szCs w:val="22"/>
            <w:lang w:eastAsia="sk-SK"/>
          </w:rPr>
          <w:tab/>
        </w:r>
        <w:r w:rsidR="00257616" w:rsidRPr="00257616">
          <w:rPr>
            <w:rStyle w:val="Hypertextovprepojenie"/>
          </w:rPr>
          <w:t>Miestna štátna správa</w:t>
        </w:r>
        <w:r w:rsidR="00A727DA">
          <w:rPr>
            <w:webHidden/>
          </w:rPr>
          <w:tab/>
        </w:r>
        <w:r w:rsidR="003740C0">
          <w:rPr>
            <w:webHidden/>
          </w:rPr>
          <w:t>37</w:t>
        </w:r>
      </w:hyperlink>
    </w:p>
    <w:p w:rsidR="00BA2AD8" w:rsidRDefault="00BA2AD8" w:rsidP="00BA2AD8">
      <w:pPr>
        <w:pStyle w:val="Obsah3"/>
        <w:rPr>
          <w:rStyle w:val="Hypertextovprepojenie"/>
        </w:rPr>
      </w:pPr>
      <w:hyperlink w:anchor="_Toc241977231" w:history="1">
        <w:r>
          <w:rPr>
            <w:rStyle w:val="Hypertextovprepojenie"/>
          </w:rPr>
          <w:t>4.2.3</w:t>
        </w:r>
        <w:r>
          <w:rPr>
            <w:rFonts w:ascii="Calibri" w:hAnsi="Calibri"/>
            <w:iCs w:val="0"/>
            <w:sz w:val="22"/>
            <w:szCs w:val="22"/>
            <w:lang w:eastAsia="sk-SK"/>
          </w:rPr>
          <w:tab/>
        </w:r>
        <w:r w:rsidRPr="00BA2AD8">
          <w:rPr>
            <w:rStyle w:val="Hypertextovprepojenie"/>
          </w:rPr>
          <w:t>Územná samospráva</w:t>
        </w:r>
        <w:r>
          <w:rPr>
            <w:webHidden/>
          </w:rPr>
          <w:tab/>
          <w:t>3</w:t>
        </w:r>
        <w:r w:rsidR="003740C0">
          <w:rPr>
            <w:webHidden/>
          </w:rPr>
          <w:t>9</w:t>
        </w:r>
      </w:hyperlink>
    </w:p>
    <w:p w:rsidR="005C08A2" w:rsidRDefault="00404D24" w:rsidP="005C08A2">
      <w:pPr>
        <w:pStyle w:val="Obsah3"/>
        <w:ind w:left="993" w:right="-2"/>
        <w:rPr>
          <w:rStyle w:val="Hypertextovprepojenie"/>
        </w:rPr>
      </w:pPr>
      <w:hyperlink w:anchor="_Toc241977231" w:history="1">
        <w:r w:rsidR="005C08A2">
          <w:rPr>
            <w:rStyle w:val="Hypertextovprepojenie"/>
          </w:rPr>
          <w:t>4.2.</w:t>
        </w:r>
        <w:r w:rsidR="00BA2AD8">
          <w:rPr>
            <w:rStyle w:val="Hypertextovprepojenie"/>
          </w:rPr>
          <w:t>3</w:t>
        </w:r>
        <w:r w:rsidR="005C08A2">
          <w:rPr>
            <w:rStyle w:val="Hypertextovprepojenie"/>
          </w:rPr>
          <w:t xml:space="preserve">.1 </w:t>
        </w:r>
        <w:r w:rsidR="00BA2AD8" w:rsidRPr="00BA2AD8">
          <w:rPr>
            <w:rStyle w:val="Hypertextovprepojenie"/>
          </w:rPr>
          <w:t>Miestna samospráva</w:t>
        </w:r>
        <w:r w:rsidR="005C08A2">
          <w:rPr>
            <w:rFonts w:ascii="Calibri" w:hAnsi="Calibri"/>
            <w:iCs w:val="0"/>
            <w:sz w:val="22"/>
            <w:szCs w:val="22"/>
            <w:lang w:eastAsia="sk-SK"/>
          </w:rPr>
          <w:tab/>
        </w:r>
        <w:r w:rsidR="003740C0">
          <w:rPr>
            <w:webHidden/>
          </w:rPr>
          <w:t>39</w:t>
        </w:r>
      </w:hyperlink>
    </w:p>
    <w:p w:rsidR="005C08A2" w:rsidRDefault="00404D24" w:rsidP="005C08A2">
      <w:pPr>
        <w:pStyle w:val="Obsah3"/>
        <w:ind w:left="993" w:right="-2"/>
        <w:rPr>
          <w:rStyle w:val="Hypertextovprepojenie"/>
        </w:rPr>
      </w:pPr>
      <w:hyperlink w:anchor="_Toc241977231" w:history="1">
        <w:r w:rsidR="005C08A2">
          <w:rPr>
            <w:rStyle w:val="Hypertextovprepojenie"/>
          </w:rPr>
          <w:t>4.2.</w:t>
        </w:r>
        <w:r w:rsidR="00BA2AD8">
          <w:rPr>
            <w:rStyle w:val="Hypertextovprepojenie"/>
          </w:rPr>
          <w:t>3</w:t>
        </w:r>
        <w:r w:rsidR="005C08A2">
          <w:rPr>
            <w:rStyle w:val="Hypertextovprepojenie"/>
          </w:rPr>
          <w:t xml:space="preserve">.2 </w:t>
        </w:r>
        <w:r w:rsidR="00BA2AD8" w:rsidRPr="00BA2AD8">
          <w:rPr>
            <w:rStyle w:val="Hypertextovprepojenie"/>
          </w:rPr>
          <w:t>Regionálna samospráva</w:t>
        </w:r>
        <w:r w:rsidR="005C08A2">
          <w:rPr>
            <w:rFonts w:ascii="Calibri" w:hAnsi="Calibri"/>
            <w:iCs w:val="0"/>
            <w:sz w:val="22"/>
            <w:szCs w:val="22"/>
            <w:lang w:eastAsia="sk-SK"/>
          </w:rPr>
          <w:tab/>
        </w:r>
        <w:r w:rsidR="00136606">
          <w:rPr>
            <w:webHidden/>
          </w:rPr>
          <w:t>4</w:t>
        </w:r>
        <w:r w:rsidR="003740C0">
          <w:rPr>
            <w:webHidden/>
          </w:rPr>
          <w:t>0</w:t>
        </w:r>
      </w:hyperlink>
    </w:p>
    <w:p w:rsidR="005C08A2" w:rsidRDefault="00404D24" w:rsidP="005C08A2">
      <w:pPr>
        <w:pStyle w:val="Obsah3"/>
        <w:rPr>
          <w:rStyle w:val="Hypertextovprepojenie"/>
        </w:rPr>
      </w:pPr>
      <w:hyperlink w:anchor="_Toc241977231" w:history="1">
        <w:r w:rsidR="005C08A2">
          <w:rPr>
            <w:rStyle w:val="Hypertextovprepojenie"/>
          </w:rPr>
          <w:t>4.2.</w:t>
        </w:r>
        <w:r w:rsidR="00257616">
          <w:rPr>
            <w:rStyle w:val="Hypertextovprepojenie"/>
          </w:rPr>
          <w:t>4</w:t>
        </w:r>
        <w:r w:rsidR="005C08A2">
          <w:rPr>
            <w:rFonts w:ascii="Calibri" w:hAnsi="Calibri"/>
            <w:iCs w:val="0"/>
            <w:sz w:val="22"/>
            <w:szCs w:val="22"/>
            <w:lang w:eastAsia="sk-SK"/>
          </w:rPr>
          <w:tab/>
        </w:r>
        <w:r w:rsidR="00257616" w:rsidRPr="00257616">
          <w:rPr>
            <w:rStyle w:val="Hypertextovprepojenie"/>
          </w:rPr>
          <w:t>Záujmová samospráva</w:t>
        </w:r>
        <w:r w:rsidR="005C08A2">
          <w:rPr>
            <w:webHidden/>
          </w:rPr>
          <w:tab/>
        </w:r>
        <w:r w:rsidR="00136606">
          <w:rPr>
            <w:webHidden/>
          </w:rPr>
          <w:t>4</w:t>
        </w:r>
        <w:r w:rsidR="003740C0">
          <w:rPr>
            <w:webHidden/>
          </w:rPr>
          <w:t>1</w:t>
        </w:r>
      </w:hyperlink>
    </w:p>
    <w:p w:rsidR="005C08A2" w:rsidRDefault="00404D24" w:rsidP="005C08A2">
      <w:pPr>
        <w:pStyle w:val="Obsah2"/>
        <w:rPr>
          <w:rFonts w:ascii="Calibri" w:hAnsi="Calibri"/>
          <w:sz w:val="22"/>
          <w:szCs w:val="22"/>
          <w:lang w:eastAsia="sk-SK"/>
        </w:rPr>
      </w:pPr>
      <w:hyperlink w:anchor="_Toc241977230" w:history="1">
        <w:r w:rsidR="005C08A2">
          <w:rPr>
            <w:rStyle w:val="Hypertextovprepojenie"/>
          </w:rPr>
          <w:t>4.3</w:t>
        </w:r>
        <w:r w:rsidR="005C08A2">
          <w:rPr>
            <w:rFonts w:ascii="Calibri" w:hAnsi="Calibri"/>
            <w:sz w:val="22"/>
            <w:szCs w:val="22"/>
            <w:lang w:eastAsia="sk-SK"/>
          </w:rPr>
          <w:tab/>
        </w:r>
        <w:r w:rsidR="005C08A2" w:rsidRPr="005C08A2">
          <w:rPr>
            <w:rStyle w:val="Hypertextovprepojenie"/>
          </w:rPr>
          <w:t>Všeobecná charakteristika správneho konania</w:t>
        </w:r>
        <w:r w:rsidR="005C08A2">
          <w:rPr>
            <w:webHidden/>
          </w:rPr>
          <w:tab/>
        </w:r>
        <w:r w:rsidR="00136606">
          <w:rPr>
            <w:webHidden/>
          </w:rPr>
          <w:t>4</w:t>
        </w:r>
        <w:r w:rsidR="003740C0">
          <w:rPr>
            <w:webHidden/>
          </w:rPr>
          <w:t>1</w:t>
        </w:r>
      </w:hyperlink>
    </w:p>
    <w:p w:rsidR="005C08A2" w:rsidRDefault="00404D24" w:rsidP="005C08A2">
      <w:pPr>
        <w:pStyle w:val="Obsah3"/>
        <w:rPr>
          <w:rStyle w:val="Hypertextovprepojenie"/>
        </w:rPr>
      </w:pPr>
      <w:hyperlink w:anchor="_Toc241977231" w:history="1">
        <w:r w:rsidR="005C08A2">
          <w:rPr>
            <w:rStyle w:val="Hypertextovprepojenie"/>
          </w:rPr>
          <w:t>4.3.1</w:t>
        </w:r>
        <w:r w:rsidR="005C08A2">
          <w:rPr>
            <w:rFonts w:ascii="Calibri" w:hAnsi="Calibri"/>
            <w:iCs w:val="0"/>
            <w:sz w:val="22"/>
            <w:szCs w:val="22"/>
            <w:lang w:eastAsia="sk-SK"/>
          </w:rPr>
          <w:tab/>
        </w:r>
        <w:r w:rsidR="005C08A2" w:rsidRPr="005C08A2">
          <w:rPr>
            <w:rStyle w:val="Hypertextovprepojenie"/>
          </w:rPr>
          <w:t>Priebeh správneho konania</w:t>
        </w:r>
        <w:r w:rsidR="005C08A2">
          <w:rPr>
            <w:webHidden/>
          </w:rPr>
          <w:tab/>
        </w:r>
        <w:r w:rsidR="00136606">
          <w:rPr>
            <w:webHidden/>
          </w:rPr>
          <w:t>4</w:t>
        </w:r>
        <w:r w:rsidR="003740C0">
          <w:rPr>
            <w:webHidden/>
          </w:rPr>
          <w:t>2</w:t>
        </w:r>
      </w:hyperlink>
    </w:p>
    <w:p w:rsidR="005C08A2" w:rsidRDefault="00404D24" w:rsidP="005C08A2">
      <w:pPr>
        <w:pStyle w:val="Obsah3"/>
        <w:ind w:left="993" w:right="-2"/>
        <w:rPr>
          <w:rStyle w:val="Hypertextovprepojenie"/>
        </w:rPr>
      </w:pPr>
      <w:hyperlink w:anchor="_Toc241977231" w:history="1">
        <w:r w:rsidR="005C08A2">
          <w:rPr>
            <w:rStyle w:val="Hypertextovprepojenie"/>
          </w:rPr>
          <w:t xml:space="preserve">4.3.1.1 </w:t>
        </w:r>
        <w:r w:rsidR="005C08A2" w:rsidRPr="005C08A2">
          <w:rPr>
            <w:rStyle w:val="Hypertextovprepojenie"/>
          </w:rPr>
          <w:t>Prvostupňové konanie</w:t>
        </w:r>
        <w:r w:rsidR="005C08A2">
          <w:rPr>
            <w:rFonts w:ascii="Calibri" w:hAnsi="Calibri"/>
            <w:iCs w:val="0"/>
            <w:sz w:val="22"/>
            <w:szCs w:val="22"/>
            <w:lang w:eastAsia="sk-SK"/>
          </w:rPr>
          <w:tab/>
        </w:r>
        <w:r w:rsidR="00136606">
          <w:rPr>
            <w:webHidden/>
          </w:rPr>
          <w:t>4</w:t>
        </w:r>
        <w:r w:rsidR="003740C0">
          <w:rPr>
            <w:webHidden/>
          </w:rPr>
          <w:t>2</w:t>
        </w:r>
      </w:hyperlink>
    </w:p>
    <w:p w:rsidR="005C08A2" w:rsidRDefault="00404D24" w:rsidP="005C08A2">
      <w:pPr>
        <w:pStyle w:val="Obsah3"/>
        <w:ind w:left="993" w:right="-2"/>
        <w:rPr>
          <w:rStyle w:val="Hypertextovprepojenie"/>
        </w:rPr>
      </w:pPr>
      <w:hyperlink w:anchor="_Toc241977231" w:history="1">
        <w:r w:rsidR="005C08A2">
          <w:rPr>
            <w:rStyle w:val="Hypertextovprepojenie"/>
          </w:rPr>
          <w:t xml:space="preserve">4.3.1.2 </w:t>
        </w:r>
        <w:r w:rsidR="005C08A2" w:rsidRPr="005C08A2">
          <w:rPr>
            <w:rStyle w:val="Hypertextovprepojenie"/>
          </w:rPr>
          <w:t>Druhostupňové konanie</w:t>
        </w:r>
        <w:r w:rsidR="005C08A2">
          <w:rPr>
            <w:rFonts w:ascii="Calibri" w:hAnsi="Calibri"/>
            <w:iCs w:val="0"/>
            <w:sz w:val="22"/>
            <w:szCs w:val="22"/>
            <w:lang w:eastAsia="sk-SK"/>
          </w:rPr>
          <w:tab/>
        </w:r>
        <w:r w:rsidR="00136606">
          <w:rPr>
            <w:webHidden/>
          </w:rPr>
          <w:t>4</w:t>
        </w:r>
        <w:r w:rsidR="003740C0">
          <w:rPr>
            <w:webHidden/>
          </w:rPr>
          <w:t>5</w:t>
        </w:r>
      </w:hyperlink>
    </w:p>
    <w:p w:rsidR="005C08A2" w:rsidRDefault="00404D24" w:rsidP="005C08A2">
      <w:pPr>
        <w:pStyle w:val="Obsah2"/>
        <w:rPr>
          <w:rFonts w:ascii="Calibri" w:hAnsi="Calibri"/>
          <w:sz w:val="22"/>
          <w:szCs w:val="22"/>
          <w:lang w:eastAsia="sk-SK"/>
        </w:rPr>
      </w:pPr>
      <w:hyperlink w:anchor="_Toc241977230" w:history="1">
        <w:r w:rsidR="005C08A2">
          <w:rPr>
            <w:rStyle w:val="Hypertextovprepojenie"/>
          </w:rPr>
          <w:t>4.4</w:t>
        </w:r>
        <w:r w:rsidR="005C08A2">
          <w:rPr>
            <w:rFonts w:ascii="Calibri" w:hAnsi="Calibri"/>
            <w:sz w:val="22"/>
            <w:szCs w:val="22"/>
            <w:lang w:eastAsia="sk-SK"/>
          </w:rPr>
          <w:tab/>
        </w:r>
        <w:r w:rsidR="005C08A2" w:rsidRPr="005C08A2">
          <w:rPr>
            <w:rStyle w:val="Hypertextovprepojenie"/>
          </w:rPr>
          <w:t>Správa na úseku živnostenského podnikania</w:t>
        </w:r>
        <w:r w:rsidR="005C08A2">
          <w:rPr>
            <w:webHidden/>
          </w:rPr>
          <w:tab/>
        </w:r>
        <w:r w:rsidR="003740C0">
          <w:rPr>
            <w:webHidden/>
          </w:rPr>
          <w:t>47</w:t>
        </w:r>
      </w:hyperlink>
    </w:p>
    <w:p w:rsidR="005C08A2" w:rsidRDefault="00404D24" w:rsidP="005C08A2">
      <w:pPr>
        <w:pStyle w:val="Obsah3"/>
      </w:pPr>
      <w:hyperlink w:anchor="_Toc241977231" w:history="1">
        <w:r w:rsidR="005C08A2">
          <w:rPr>
            <w:rStyle w:val="Hypertextovprepojenie"/>
          </w:rPr>
          <w:t>4.4.1</w:t>
        </w:r>
        <w:r w:rsidR="005C08A2">
          <w:rPr>
            <w:rFonts w:ascii="Calibri" w:hAnsi="Calibri"/>
            <w:iCs w:val="0"/>
            <w:sz w:val="22"/>
            <w:szCs w:val="22"/>
            <w:lang w:eastAsia="sk-SK"/>
          </w:rPr>
          <w:tab/>
        </w:r>
        <w:r w:rsidR="00BA2AD8" w:rsidRPr="00BA2AD8">
          <w:rPr>
            <w:rStyle w:val="Hypertextovprepojenie"/>
          </w:rPr>
          <w:t>Výkon živnostenského podnikania na centrálnej úrovni</w:t>
        </w:r>
        <w:r w:rsidR="005C08A2">
          <w:rPr>
            <w:webHidden/>
          </w:rPr>
          <w:tab/>
        </w:r>
        <w:r w:rsidR="003740C0">
          <w:rPr>
            <w:webHidden/>
          </w:rPr>
          <w:t>48</w:t>
        </w:r>
      </w:hyperlink>
    </w:p>
    <w:p w:rsidR="00BA2AD8" w:rsidRDefault="00BA2AD8" w:rsidP="00BA2AD8">
      <w:pPr>
        <w:pStyle w:val="Obsah3"/>
        <w:ind w:left="993" w:right="-2"/>
        <w:rPr>
          <w:rStyle w:val="Hypertextovprepojenie"/>
        </w:rPr>
      </w:pPr>
      <w:hyperlink w:anchor="_Toc241977231" w:history="1">
        <w:r>
          <w:rPr>
            <w:rStyle w:val="Hypertextovprepojenie"/>
          </w:rPr>
          <w:t xml:space="preserve">4.4.1.1 </w:t>
        </w:r>
        <w:r w:rsidRPr="008136AE">
          <w:rPr>
            <w:rStyle w:val="Hypertextovprepojenie"/>
          </w:rPr>
          <w:t>Pôsobnosť Ministerstva vnútra Slovenskej republiky</w:t>
        </w:r>
        <w:r>
          <w:rPr>
            <w:rFonts w:ascii="Calibri" w:hAnsi="Calibri"/>
            <w:iCs w:val="0"/>
            <w:sz w:val="22"/>
            <w:szCs w:val="22"/>
            <w:lang w:eastAsia="sk-SK"/>
          </w:rPr>
          <w:tab/>
        </w:r>
        <w:r>
          <w:rPr>
            <w:webHidden/>
          </w:rPr>
          <w:t>4</w:t>
        </w:r>
      </w:hyperlink>
      <w:r w:rsidR="003740C0">
        <w:t>8</w:t>
      </w:r>
    </w:p>
    <w:p w:rsidR="00BA2AD8" w:rsidRDefault="00BA2AD8" w:rsidP="00BA2AD8">
      <w:pPr>
        <w:pStyle w:val="Obsah3"/>
        <w:ind w:left="993" w:right="-2"/>
        <w:rPr>
          <w:rStyle w:val="Hypertextovprepojenie"/>
        </w:rPr>
      </w:pPr>
      <w:hyperlink w:anchor="_Toc241977231" w:history="1">
        <w:r>
          <w:rPr>
            <w:rStyle w:val="Hypertextovprepojenie"/>
          </w:rPr>
          <w:t xml:space="preserve">4.4.1.2 </w:t>
        </w:r>
        <w:r w:rsidRPr="008136AE">
          <w:rPr>
            <w:rStyle w:val="Hypertextovprepojenie"/>
          </w:rPr>
          <w:t>Pôsobnosť Obvodného úradu</w:t>
        </w:r>
        <w:r>
          <w:rPr>
            <w:rFonts w:ascii="Calibri" w:hAnsi="Calibri"/>
            <w:iCs w:val="0"/>
            <w:sz w:val="22"/>
            <w:szCs w:val="22"/>
            <w:lang w:eastAsia="sk-SK"/>
          </w:rPr>
          <w:tab/>
        </w:r>
        <w:r>
          <w:rPr>
            <w:webHidden/>
          </w:rPr>
          <w:t>4</w:t>
        </w:r>
      </w:hyperlink>
      <w:r w:rsidR="003740C0">
        <w:t>9</w:t>
      </w:r>
    </w:p>
    <w:p w:rsidR="005C08A2" w:rsidRDefault="00404D24" w:rsidP="00220FFC">
      <w:pPr>
        <w:pStyle w:val="Obsah3"/>
        <w:ind w:left="1134" w:hanging="737"/>
      </w:pPr>
      <w:hyperlink w:anchor="_Toc241977231" w:history="1">
        <w:r w:rsidR="005C08A2">
          <w:rPr>
            <w:rStyle w:val="Hypertextovprepojenie"/>
          </w:rPr>
          <w:t>4.4.2</w:t>
        </w:r>
        <w:r w:rsidR="005C08A2">
          <w:rPr>
            <w:rFonts w:ascii="Calibri" w:hAnsi="Calibri"/>
            <w:iCs w:val="0"/>
            <w:sz w:val="22"/>
            <w:szCs w:val="22"/>
            <w:lang w:eastAsia="sk-SK"/>
          </w:rPr>
          <w:tab/>
        </w:r>
        <w:r w:rsidR="00BA2AD8" w:rsidRPr="00BA2AD8">
          <w:rPr>
            <w:rStyle w:val="Hypertextovprepojenie"/>
          </w:rPr>
          <w:t>Výkon živnostenského podnikania ďalšími orgánmi verejnej správy</w:t>
        </w:r>
        <w:r w:rsidR="005C08A2">
          <w:rPr>
            <w:webHidden/>
          </w:rPr>
          <w:tab/>
        </w:r>
        <w:r w:rsidR="00136606">
          <w:rPr>
            <w:webHidden/>
          </w:rPr>
          <w:t>5</w:t>
        </w:r>
        <w:r w:rsidR="003740C0">
          <w:rPr>
            <w:webHidden/>
          </w:rPr>
          <w:t>1</w:t>
        </w:r>
      </w:hyperlink>
    </w:p>
    <w:p w:rsidR="008136AE" w:rsidRDefault="00404D24" w:rsidP="008136AE">
      <w:pPr>
        <w:pStyle w:val="Obsah3"/>
        <w:rPr>
          <w:rStyle w:val="Hypertextovprepojenie"/>
        </w:rPr>
      </w:pPr>
      <w:hyperlink w:anchor="_Toc241977231" w:history="1">
        <w:r w:rsidR="008136AE">
          <w:rPr>
            <w:rStyle w:val="Hypertextovprepojenie"/>
          </w:rPr>
          <w:t>4.4.3</w:t>
        </w:r>
        <w:r w:rsidR="008136AE">
          <w:rPr>
            <w:rFonts w:ascii="Calibri" w:hAnsi="Calibri"/>
            <w:iCs w:val="0"/>
            <w:sz w:val="22"/>
            <w:szCs w:val="22"/>
            <w:lang w:eastAsia="sk-SK"/>
          </w:rPr>
          <w:tab/>
        </w:r>
        <w:r w:rsidR="008136AE" w:rsidRPr="008136AE">
          <w:rPr>
            <w:rStyle w:val="Hypertextovprepojenie"/>
          </w:rPr>
          <w:t>Kontrolná činnosť na úseku živnostenského podnikania</w:t>
        </w:r>
        <w:r w:rsidR="008136AE">
          <w:rPr>
            <w:webHidden/>
          </w:rPr>
          <w:tab/>
        </w:r>
        <w:r w:rsidR="00136606">
          <w:rPr>
            <w:webHidden/>
          </w:rPr>
          <w:t>5</w:t>
        </w:r>
        <w:r w:rsidR="003740C0">
          <w:rPr>
            <w:webHidden/>
          </w:rPr>
          <w:t>2</w:t>
        </w:r>
      </w:hyperlink>
    </w:p>
    <w:p w:rsidR="008136AE" w:rsidRDefault="00404D24" w:rsidP="008136AE">
      <w:pPr>
        <w:pStyle w:val="Obsah3"/>
        <w:rPr>
          <w:rStyle w:val="Hypertextovprepojenie"/>
        </w:rPr>
      </w:pPr>
      <w:hyperlink w:anchor="_Toc241977231" w:history="1">
        <w:r w:rsidR="008136AE">
          <w:rPr>
            <w:rStyle w:val="Hypertextovprepojenie"/>
          </w:rPr>
          <w:t>4.4.4</w:t>
        </w:r>
        <w:r w:rsidR="008136AE">
          <w:rPr>
            <w:rFonts w:ascii="Calibri" w:hAnsi="Calibri"/>
            <w:iCs w:val="0"/>
            <w:sz w:val="22"/>
            <w:szCs w:val="22"/>
            <w:lang w:eastAsia="sk-SK"/>
          </w:rPr>
          <w:tab/>
        </w:r>
        <w:r w:rsidR="008136AE" w:rsidRPr="008136AE">
          <w:rPr>
            <w:rStyle w:val="Hypertextovprepojenie"/>
          </w:rPr>
          <w:t>Administratívna zodpovednosť v oblasti živnostenského podnikania</w:t>
        </w:r>
        <w:r w:rsidR="008136AE">
          <w:rPr>
            <w:webHidden/>
          </w:rPr>
          <w:tab/>
        </w:r>
        <w:r w:rsidR="00136606">
          <w:rPr>
            <w:webHidden/>
          </w:rPr>
          <w:t>5</w:t>
        </w:r>
        <w:r w:rsidR="003740C0">
          <w:rPr>
            <w:webHidden/>
          </w:rPr>
          <w:t>2</w:t>
        </w:r>
      </w:hyperlink>
    </w:p>
    <w:p w:rsidR="008136AE" w:rsidRDefault="00404D24" w:rsidP="008136AE">
      <w:pPr>
        <w:pStyle w:val="Obsah2"/>
        <w:rPr>
          <w:rFonts w:ascii="Calibri" w:hAnsi="Calibri"/>
          <w:sz w:val="22"/>
          <w:szCs w:val="22"/>
          <w:lang w:eastAsia="sk-SK"/>
        </w:rPr>
      </w:pPr>
      <w:hyperlink w:anchor="_Toc241977230" w:history="1">
        <w:r w:rsidR="008136AE">
          <w:rPr>
            <w:rStyle w:val="Hypertextovprepojenie"/>
          </w:rPr>
          <w:t>4.5</w:t>
        </w:r>
        <w:r w:rsidR="008136AE">
          <w:rPr>
            <w:rFonts w:ascii="Calibri" w:hAnsi="Calibri"/>
            <w:sz w:val="22"/>
            <w:szCs w:val="22"/>
            <w:lang w:eastAsia="sk-SK"/>
          </w:rPr>
          <w:tab/>
        </w:r>
        <w:r w:rsidR="005647CB" w:rsidRPr="005647CB">
          <w:rPr>
            <w:rStyle w:val="Hypertextovprepojenie"/>
          </w:rPr>
          <w:t>Vzťah správneho poriadku k živnostenskému podnikaniu</w:t>
        </w:r>
        <w:r w:rsidR="008136AE">
          <w:rPr>
            <w:webHidden/>
          </w:rPr>
          <w:tab/>
        </w:r>
        <w:r w:rsidR="003740C0">
          <w:rPr>
            <w:webHidden/>
          </w:rPr>
          <w:t>54</w:t>
        </w:r>
      </w:hyperlink>
    </w:p>
    <w:p w:rsidR="008136AE" w:rsidRDefault="00404D24" w:rsidP="005647CB">
      <w:pPr>
        <w:pStyle w:val="Obsah3"/>
        <w:ind w:left="1134" w:hanging="737"/>
        <w:rPr>
          <w:rStyle w:val="Hypertextovprepojenie"/>
        </w:rPr>
      </w:pPr>
      <w:hyperlink w:anchor="_Toc241977231" w:history="1">
        <w:r w:rsidR="008136AE">
          <w:rPr>
            <w:rStyle w:val="Hypertextovprepojenie"/>
          </w:rPr>
          <w:t>4.5.1</w:t>
        </w:r>
        <w:r w:rsidR="008136AE">
          <w:rPr>
            <w:rFonts w:ascii="Calibri" w:hAnsi="Calibri"/>
            <w:iCs w:val="0"/>
            <w:sz w:val="22"/>
            <w:szCs w:val="22"/>
            <w:lang w:eastAsia="sk-SK"/>
          </w:rPr>
          <w:tab/>
        </w:r>
        <w:r w:rsidR="005647CB" w:rsidRPr="005647CB">
          <w:rPr>
            <w:rStyle w:val="Hypertextovprepojenie"/>
          </w:rPr>
          <w:t>Rozhodnutia o vzniku živnostenského oprávnenia v právnej úprave živnostenského zákona v porovnaní so správnym poriadkom</w:t>
        </w:r>
        <w:r w:rsidR="008136AE">
          <w:rPr>
            <w:webHidden/>
          </w:rPr>
          <w:tab/>
        </w:r>
        <w:r w:rsidR="003740C0">
          <w:rPr>
            <w:webHidden/>
          </w:rPr>
          <w:t>55</w:t>
        </w:r>
      </w:hyperlink>
    </w:p>
    <w:p w:rsidR="008136AE" w:rsidRDefault="00404D24" w:rsidP="008136AE">
      <w:pPr>
        <w:pStyle w:val="Obsah3"/>
        <w:ind w:left="1134" w:hanging="737"/>
      </w:pPr>
      <w:hyperlink w:anchor="_Toc241977231" w:history="1">
        <w:r w:rsidR="008136AE">
          <w:rPr>
            <w:rStyle w:val="Hypertextovprepojenie"/>
          </w:rPr>
          <w:t>4.5.2</w:t>
        </w:r>
        <w:r w:rsidR="008136AE">
          <w:rPr>
            <w:rFonts w:ascii="Calibri" w:hAnsi="Calibri"/>
            <w:iCs w:val="0"/>
            <w:sz w:val="22"/>
            <w:szCs w:val="22"/>
            <w:lang w:eastAsia="sk-SK"/>
          </w:rPr>
          <w:tab/>
        </w:r>
        <w:r w:rsidR="005647CB" w:rsidRPr="005647CB">
          <w:rPr>
            <w:rStyle w:val="Hypertextovprepojenie"/>
          </w:rPr>
          <w:t>Rozhodnutia o zániku a pozast</w:t>
        </w:r>
        <w:r w:rsidR="005647CB">
          <w:rPr>
            <w:rStyle w:val="Hypertextovprepojenie"/>
          </w:rPr>
          <w:t xml:space="preserve">avení živnostenského oprávnenia </w:t>
        </w:r>
        <w:r w:rsidR="005647CB" w:rsidRPr="005647CB">
          <w:rPr>
            <w:rStyle w:val="Hypertextovprepojenie"/>
          </w:rPr>
          <w:t>v právnej úprave živnostenského zákona v porovnaní so správnym poriadkom</w:t>
        </w:r>
        <w:r w:rsidR="008136AE">
          <w:rPr>
            <w:webHidden/>
          </w:rPr>
          <w:tab/>
        </w:r>
        <w:r w:rsidR="003740C0">
          <w:rPr>
            <w:webHidden/>
          </w:rPr>
          <w:t>57</w:t>
        </w:r>
      </w:hyperlink>
    </w:p>
    <w:p w:rsidR="005647CB" w:rsidRDefault="005647CB" w:rsidP="005647CB">
      <w:pPr>
        <w:pStyle w:val="Obsah2"/>
        <w:tabs>
          <w:tab w:val="clear" w:pos="680"/>
          <w:tab w:val="left" w:pos="709"/>
        </w:tabs>
        <w:ind w:left="698" w:hanging="585"/>
        <w:rPr>
          <w:rFonts w:ascii="Calibri" w:hAnsi="Calibri"/>
          <w:sz w:val="22"/>
          <w:szCs w:val="22"/>
          <w:lang w:eastAsia="sk-SK"/>
        </w:rPr>
      </w:pPr>
      <w:hyperlink w:anchor="_Toc241977230" w:history="1">
        <w:r>
          <w:rPr>
            <w:rStyle w:val="Hypertextovprepojenie"/>
          </w:rPr>
          <w:t>4.6</w:t>
        </w:r>
        <w:r>
          <w:rPr>
            <w:rFonts w:ascii="Calibri" w:hAnsi="Calibri"/>
            <w:sz w:val="22"/>
            <w:szCs w:val="22"/>
            <w:lang w:eastAsia="sk-SK"/>
          </w:rPr>
          <w:tab/>
        </w:r>
        <w:r w:rsidRPr="005647CB">
          <w:rPr>
            <w:rStyle w:val="Hypertextovprepojenie"/>
          </w:rPr>
          <w:t>Analýza živnostenského podnikania v podmienkach Slovenskej republiky a jej jednotlivých oblastiach</w:t>
        </w:r>
        <w:r>
          <w:rPr>
            <w:webHidden/>
          </w:rPr>
          <w:tab/>
        </w:r>
        <w:r w:rsidR="003740C0">
          <w:rPr>
            <w:webHidden/>
          </w:rPr>
          <w:t>57</w:t>
        </w:r>
      </w:hyperlink>
    </w:p>
    <w:p w:rsidR="005647CB" w:rsidRDefault="005647CB" w:rsidP="005647CB">
      <w:pPr>
        <w:pStyle w:val="Obsah3"/>
        <w:ind w:left="1134" w:hanging="737"/>
        <w:rPr>
          <w:rStyle w:val="Hypertextovprepojenie"/>
        </w:rPr>
      </w:pPr>
      <w:hyperlink w:anchor="_Toc241977231" w:history="1">
        <w:r>
          <w:rPr>
            <w:rStyle w:val="Hypertextovprepojenie"/>
          </w:rPr>
          <w:t>4.6.1</w:t>
        </w:r>
        <w:r>
          <w:rPr>
            <w:rFonts w:ascii="Calibri" w:hAnsi="Calibri"/>
            <w:iCs w:val="0"/>
            <w:sz w:val="22"/>
            <w:szCs w:val="22"/>
            <w:lang w:eastAsia="sk-SK"/>
          </w:rPr>
          <w:tab/>
        </w:r>
        <w:r w:rsidRPr="005647CB">
          <w:rPr>
            <w:rStyle w:val="Hypertextovprepojenie"/>
          </w:rPr>
          <w:t>Analýza vydaných rozhodnutí na úseku živnostenského podnikania</w:t>
        </w:r>
        <w:r>
          <w:rPr>
            <w:webHidden/>
          </w:rPr>
          <w:tab/>
          <w:t>6</w:t>
        </w:r>
        <w:r w:rsidR="003740C0">
          <w:rPr>
            <w:webHidden/>
          </w:rPr>
          <w:t>5</w:t>
        </w:r>
      </w:hyperlink>
    </w:p>
    <w:p w:rsidR="005647CB" w:rsidRDefault="005647CB" w:rsidP="005647CB">
      <w:pPr>
        <w:pStyle w:val="Obsah2"/>
        <w:tabs>
          <w:tab w:val="clear" w:pos="680"/>
          <w:tab w:val="left" w:pos="709"/>
        </w:tabs>
        <w:ind w:left="698" w:hanging="585"/>
        <w:rPr>
          <w:rFonts w:ascii="Calibri" w:hAnsi="Calibri"/>
          <w:sz w:val="22"/>
          <w:szCs w:val="22"/>
          <w:lang w:eastAsia="sk-SK"/>
        </w:rPr>
      </w:pPr>
      <w:hyperlink w:anchor="_Toc241977230" w:history="1">
        <w:r>
          <w:rPr>
            <w:rStyle w:val="Hypertextovprepojenie"/>
          </w:rPr>
          <w:t>4.7</w:t>
        </w:r>
        <w:r>
          <w:rPr>
            <w:rFonts w:ascii="Calibri" w:hAnsi="Calibri"/>
            <w:sz w:val="22"/>
            <w:szCs w:val="22"/>
            <w:lang w:eastAsia="sk-SK"/>
          </w:rPr>
          <w:tab/>
        </w:r>
        <w:r w:rsidRPr="005647CB">
          <w:rPr>
            <w:rStyle w:val="Hypertextovprepojenie"/>
          </w:rPr>
          <w:t>Analýza podnikateľského subjektu podnikajúceho na základe živnostenského oprávnenia</w:t>
        </w:r>
        <w:r>
          <w:rPr>
            <w:webHidden/>
          </w:rPr>
          <w:tab/>
          <w:t>6</w:t>
        </w:r>
        <w:r w:rsidR="003740C0">
          <w:rPr>
            <w:webHidden/>
          </w:rPr>
          <w:t>8</w:t>
        </w:r>
      </w:hyperlink>
    </w:p>
    <w:p w:rsidR="00136606" w:rsidRDefault="00404D24" w:rsidP="00136606">
      <w:pPr>
        <w:pStyle w:val="Obsah1"/>
        <w:rPr>
          <w:rStyle w:val="Hypertextovprepojenie"/>
        </w:rPr>
      </w:pPr>
      <w:hyperlink w:anchor="_Toc241977233" w:history="1">
        <w:r w:rsidR="00136606">
          <w:rPr>
            <w:rStyle w:val="Hypertextovprepojenie"/>
          </w:rPr>
          <w:t>5</w:t>
        </w:r>
        <w:r w:rsidR="00136606">
          <w:rPr>
            <w:rFonts w:ascii="Calibri" w:hAnsi="Calibri"/>
            <w:b w:val="0"/>
            <w:bCs w:val="0"/>
            <w:sz w:val="22"/>
            <w:szCs w:val="22"/>
            <w:lang w:eastAsia="sk-SK"/>
          </w:rPr>
          <w:tab/>
        </w:r>
        <w:r w:rsidR="00136606">
          <w:rPr>
            <w:rStyle w:val="Hypertextovprepojenie"/>
          </w:rPr>
          <w:t>Záver</w:t>
        </w:r>
        <w:r w:rsidR="00136606">
          <w:rPr>
            <w:webHidden/>
          </w:rPr>
          <w:tab/>
          <w:t>7</w:t>
        </w:r>
        <w:r w:rsidR="003740C0">
          <w:rPr>
            <w:webHidden/>
          </w:rPr>
          <w:t>1</w:t>
        </w:r>
      </w:hyperlink>
    </w:p>
    <w:p w:rsidR="00136606" w:rsidRDefault="00404D24" w:rsidP="00136606">
      <w:pPr>
        <w:pStyle w:val="Obsah1"/>
        <w:rPr>
          <w:rFonts w:ascii="Calibri" w:hAnsi="Calibri"/>
          <w:b w:val="0"/>
          <w:bCs w:val="0"/>
          <w:sz w:val="22"/>
          <w:szCs w:val="22"/>
          <w:lang w:eastAsia="sk-SK"/>
        </w:rPr>
      </w:pPr>
      <w:hyperlink w:anchor="_Toc241977229" w:history="1">
        <w:r w:rsidR="00136606">
          <w:rPr>
            <w:rStyle w:val="Hypertextovprepojenie"/>
          </w:rPr>
          <w:t>6</w:t>
        </w:r>
        <w:r w:rsidR="00136606">
          <w:rPr>
            <w:rFonts w:ascii="Calibri" w:hAnsi="Calibri"/>
            <w:b w:val="0"/>
            <w:bCs w:val="0"/>
            <w:sz w:val="22"/>
            <w:szCs w:val="22"/>
            <w:lang w:eastAsia="sk-SK"/>
          </w:rPr>
          <w:tab/>
        </w:r>
        <w:r w:rsidR="00136606" w:rsidRPr="00136606">
          <w:rPr>
            <w:rStyle w:val="Hypertextovprepojenie"/>
          </w:rPr>
          <w:t>Zoznam použitej literatúry</w:t>
        </w:r>
        <w:r w:rsidR="00136606">
          <w:rPr>
            <w:webHidden/>
          </w:rPr>
          <w:tab/>
          <w:t>7</w:t>
        </w:r>
        <w:r w:rsidR="003740C0">
          <w:rPr>
            <w:webHidden/>
          </w:rPr>
          <w:t>3</w:t>
        </w:r>
      </w:hyperlink>
    </w:p>
    <w:p w:rsidR="00136606" w:rsidRDefault="00404D24" w:rsidP="00136606">
      <w:pPr>
        <w:pStyle w:val="Obsah1"/>
        <w:rPr>
          <w:rFonts w:ascii="Calibri" w:hAnsi="Calibri"/>
          <w:b w:val="0"/>
          <w:bCs w:val="0"/>
          <w:sz w:val="22"/>
          <w:szCs w:val="22"/>
          <w:lang w:eastAsia="sk-SK"/>
        </w:rPr>
      </w:pPr>
      <w:hyperlink w:anchor="_Toc241977229" w:history="1">
        <w:r w:rsidR="00136606">
          <w:rPr>
            <w:rStyle w:val="Hypertextovprepojenie"/>
          </w:rPr>
          <w:t>7</w:t>
        </w:r>
        <w:r w:rsidR="00136606">
          <w:rPr>
            <w:rFonts w:ascii="Calibri" w:hAnsi="Calibri"/>
            <w:b w:val="0"/>
            <w:bCs w:val="0"/>
            <w:sz w:val="22"/>
            <w:szCs w:val="22"/>
            <w:lang w:eastAsia="sk-SK"/>
          </w:rPr>
          <w:tab/>
        </w:r>
        <w:r w:rsidR="00136606">
          <w:rPr>
            <w:rStyle w:val="Hypertextovprepojenie"/>
          </w:rPr>
          <w:t>Prílohy</w:t>
        </w:r>
        <w:r w:rsidR="00136606">
          <w:rPr>
            <w:webHidden/>
          </w:rPr>
          <w:tab/>
          <w:t>7</w:t>
        </w:r>
        <w:r w:rsidR="003740C0">
          <w:rPr>
            <w:webHidden/>
          </w:rPr>
          <w:t>7</w:t>
        </w:r>
      </w:hyperlink>
    </w:p>
    <w:p w:rsidR="00136606" w:rsidRDefault="00136606">
      <w:pPr>
        <w:pStyle w:val="Obsah1"/>
      </w:pPr>
    </w:p>
    <w:p w:rsidR="00A727DA" w:rsidRDefault="00404D24">
      <w:r>
        <w:rPr>
          <w:b/>
          <w:bCs/>
          <w:caps/>
          <w:noProof/>
          <w:szCs w:val="32"/>
        </w:rPr>
        <w:fldChar w:fldCharType="end"/>
      </w:r>
    </w:p>
    <w:p w:rsidR="00A727DA" w:rsidRDefault="00A727DA">
      <w:pPr>
        <w:spacing w:before="0"/>
        <w:jc w:val="left"/>
        <w:sectPr w:rsidR="00A727DA">
          <w:headerReference w:type="default" r:id="rId13"/>
          <w:pgSz w:w="11906" w:h="16838"/>
          <w:pgMar w:top="899" w:right="1418" w:bottom="1418" w:left="1985" w:header="851" w:footer="680" w:gutter="0"/>
          <w:cols w:space="708"/>
        </w:sectPr>
      </w:pPr>
    </w:p>
    <w:p w:rsidR="00A727DA" w:rsidRDefault="00A727DA" w:rsidP="00405E53">
      <w:pPr>
        <w:pStyle w:val="ZPNadpisKapitolyTimesNewRoman"/>
        <w:numPr>
          <w:ilvl w:val="0"/>
          <w:numId w:val="0"/>
        </w:numPr>
        <w:ind w:left="432" w:hanging="432"/>
      </w:pPr>
      <w:bookmarkStart w:id="9" w:name="_Toc102191181"/>
      <w:bookmarkStart w:id="10" w:name="_Toc224306942"/>
      <w:bookmarkStart w:id="11" w:name="_Toc241977228"/>
      <w:r>
        <w:lastRenderedPageBreak/>
        <w:t>Úvod</w:t>
      </w:r>
      <w:bookmarkEnd w:id="9"/>
      <w:bookmarkEnd w:id="10"/>
      <w:bookmarkEnd w:id="11"/>
    </w:p>
    <w:p w:rsidR="00842DC6" w:rsidRDefault="00842DC6" w:rsidP="00842DC6">
      <w:pPr>
        <w:ind w:firstLine="708"/>
        <w:contextualSpacing/>
      </w:pPr>
      <w:r>
        <w:t xml:space="preserve">Právo sa podľa predmetu delí na právne odvetvia. Jedným z ich mnohých členení je členenie na súkromné a verejné právo. Kým súkromné právo (do ktorého patria občianske, pracovné, rodinné, obchodné a medzinárodné právo súkromné) upravuje vzťahy medzi fyzickými a právnickými osobami, verejné právo (do ktorého naopak spadajú ústavné, trestné, správne a finančné právo) upravuje vzťahy medzi fyzickými a právnickými osobami na jednej strane a orgánmi štátnej správy, ktoré sú nadriadenými inštitúciami, na strane druhej.  </w:t>
      </w:r>
    </w:p>
    <w:p w:rsidR="00842DC6" w:rsidRDefault="00842DC6" w:rsidP="00842DC6">
      <w:pPr>
        <w:ind w:firstLine="708"/>
        <w:contextualSpacing/>
      </w:pPr>
      <w:r w:rsidRPr="006C78EB">
        <w:t xml:space="preserve">Správne právo, </w:t>
      </w:r>
      <w:r>
        <w:t xml:space="preserve">ako </w:t>
      </w:r>
      <w:r w:rsidRPr="006C78EB">
        <w:t>jedn</w:t>
      </w:r>
      <w:r>
        <w:t>o z</w:t>
      </w:r>
      <w:r w:rsidRPr="006C78EB">
        <w:t xml:space="preserve"> </w:t>
      </w:r>
      <w:r>
        <w:t>významných</w:t>
      </w:r>
      <w:r w:rsidRPr="006C78EB">
        <w:t xml:space="preserve"> odvetví právneho poriadku Slovenskej republiky</w:t>
      </w:r>
      <w:r>
        <w:t xml:space="preserve">, je úzko späté s verejnou správou. Za základný právny </w:t>
      </w:r>
      <w:r w:rsidRPr="006C78EB">
        <w:t xml:space="preserve">predpis, </w:t>
      </w:r>
      <w:r>
        <w:t xml:space="preserve">ktorý upravuje túto problematiku - teda </w:t>
      </w:r>
      <w:r w:rsidRPr="006C78EB">
        <w:t>procesný postup orgánov verejnej správy pri rozhodovaní o právach a povinnostiach účastníkov správneho konania</w:t>
      </w:r>
      <w:r>
        <w:t xml:space="preserve"> - sa považuje z</w:t>
      </w:r>
      <w:r w:rsidRPr="006C78EB">
        <w:t xml:space="preserve">ákon č. 71/1967 Zb. o správnom konaní (správny poriadok). </w:t>
      </w:r>
      <w:r>
        <w:t xml:space="preserve">Správny poriadok sa považuje za najstabilnejšie právne predpisy, nakoľko od jeho prijatia, čo už je takmer 43 rokov, prebehol len 3 novelizáciami. Ide však len o všeobecnú úpravu, jeho použitie si preto v osobitných konaniach vyžaduje znalosť osobitných úprav správneho konania. Jednou z týchto osobitných úprav, ktorá podľa potreby rozhodovania v určitých prípadoch upravuje väčšie či menšie odchýlky od všeobecnej úpravy, je aj konanie vo veci živnosti. </w:t>
      </w:r>
    </w:p>
    <w:p w:rsidR="00842DC6" w:rsidRPr="00344365" w:rsidRDefault="00842DC6" w:rsidP="00842DC6">
      <w:pPr>
        <w:ind w:firstLine="708"/>
        <w:contextualSpacing/>
      </w:pPr>
      <w:r>
        <w:t xml:space="preserve">Jedným z prvých rozhodnutí, ktoré musí budúci podnikateľ urobiť, je zvoliť si právnu formu svojho podnikania. Mnohí začínajú svoju podnikateľskú činnosť ako súkromní podnikatelia - živnostníci, preto môžeme povedať, že za najrozšírenejšiu právnu formu podnikania fyzických osôb sa v podmienkach Slovenskej republiky považuje živnostenské podnikanie, upravované zákonom </w:t>
      </w:r>
      <w:r w:rsidRPr="006C78EB">
        <w:t>č. 455/1991 Zb. o živnostenskom podnikaní</w:t>
      </w:r>
      <w:r>
        <w:t xml:space="preserve">. </w:t>
      </w:r>
    </w:p>
    <w:p w:rsidR="00A727DA" w:rsidRDefault="007C5293" w:rsidP="00956A22">
      <w:pPr>
        <w:pStyle w:val="ZPNormalnyText"/>
        <w:rPr>
          <w:highlight w:val="lightGray"/>
        </w:rPr>
      </w:pPr>
      <w:r>
        <w:tab/>
      </w:r>
      <w:r w:rsidR="00E502AF" w:rsidRPr="00344365">
        <w:t xml:space="preserve">V nasledujúcich stránkach tejto </w:t>
      </w:r>
      <w:r w:rsidR="00E502AF">
        <w:t>diplomovej</w:t>
      </w:r>
      <w:r w:rsidR="00E502AF" w:rsidRPr="00344365">
        <w:t xml:space="preserve"> práce budeme analyzovať </w:t>
      </w:r>
      <w:r w:rsidR="00E502AF">
        <w:t>najmä aplikáciu správneho poriadku do podnikania ustanoveného pravidlami živnostenského zákona.</w:t>
      </w:r>
      <w:r w:rsidR="00A727DA">
        <w:rPr>
          <w:highlight w:val="lightGray"/>
        </w:rPr>
        <w:t xml:space="preserve"> </w:t>
      </w:r>
    </w:p>
    <w:p w:rsidR="00A727DA" w:rsidRDefault="00A727DA" w:rsidP="00956A22">
      <w:pPr>
        <w:pStyle w:val="ZPNormalnyText"/>
      </w:pPr>
    </w:p>
    <w:p w:rsidR="00A727DA" w:rsidRDefault="004576F5" w:rsidP="00956A22">
      <w:pPr>
        <w:pStyle w:val="ZPNadpisKapitolyTimesNewRoman"/>
      </w:pPr>
      <w:r>
        <w:lastRenderedPageBreak/>
        <w:t>Súčasný stav riešenej problematiky doma a v zahraničí</w:t>
      </w:r>
    </w:p>
    <w:p w:rsidR="00A727DA" w:rsidRPr="000518AB" w:rsidRDefault="000518AB" w:rsidP="00CF141A">
      <w:pPr>
        <w:pStyle w:val="ZPPodNadpisKapitolyTimesNewRoman"/>
      </w:pPr>
      <w:r w:rsidRPr="000518AB">
        <w:t>Charakteristika verejnej správy</w:t>
      </w:r>
    </w:p>
    <w:p w:rsidR="000518AB" w:rsidRPr="00344365" w:rsidRDefault="000518AB" w:rsidP="000518AB">
      <w:pPr>
        <w:ind w:firstLine="708"/>
      </w:pPr>
      <w:r w:rsidRPr="00344365">
        <w:t xml:space="preserve">Podľa </w:t>
      </w:r>
      <w:r w:rsidRPr="00344365">
        <w:rPr>
          <w:b/>
        </w:rPr>
        <w:t xml:space="preserve">Belajovej - Balážovej (2004) </w:t>
      </w:r>
      <w:r w:rsidRPr="00344365">
        <w:t xml:space="preserve">predstavuje správa zámernú a cieľavedomú činnosť, ktorej účelom je dosiahnuť, udržať alebo rozvinúť predmet správy. Činnosti, ktoré sú predmetom správy, sú rôznorodé a skladajú sa z jednotlivých úkonov, ktoré musí správca vykonať, aby dosiahol svoj zámer, alebo účel správy. Správou je ten, ktorý spravuje - štát alebo samospráva alebo podnikateľ, či občan - dostáva do určitých vzťahov s inými občanmi, podnikateľmi, inštitúciami, aby mohol dosiahnuť zámer alebo účel správy. Každá správa sa musí vykonávať v rámci práva a podľa právnych noriem. </w:t>
      </w:r>
    </w:p>
    <w:p w:rsidR="000518AB" w:rsidRPr="00344365" w:rsidRDefault="000518AB" w:rsidP="000518AB">
      <w:pPr>
        <w:ind w:firstLine="708"/>
      </w:pPr>
      <w:r w:rsidRPr="00344365">
        <w:rPr>
          <w:b/>
        </w:rPr>
        <w:t>Marišová - Ilková - Belicová (2002)</w:t>
      </w:r>
      <w:r w:rsidRPr="00344365">
        <w:t xml:space="preserve"> uvádzajú, že verejnú správu možno chápať ako trojfunkcionálnu inštitúciu. Predovšetkým ako nástroj realizácie jedného zo základných práv občanov - práva účasti občana na správe vecí verejných, čo predstavuje právny rozmer verejnej správy. Ďalej ako inštitúciu, prostredníctvom ktorej sa občania bezprostredne zúčastňujú na upevňovaní občianskej spoločnosti, čím sa verejná správa stáva aj významným prvkom politického systému. Napokon ako inštitúciu, ktorou možno racionálne a efektívne ovplyvňovať riadenie istej sféry ekonomicko-sociálnych procesov v spoločnosti, čím nadobúda rozmer sociálny. </w:t>
      </w:r>
    </w:p>
    <w:p w:rsidR="000518AB" w:rsidRPr="00344365" w:rsidRDefault="000518AB" w:rsidP="000518AB">
      <w:pPr>
        <w:ind w:firstLine="708"/>
      </w:pPr>
      <w:r w:rsidRPr="00344365">
        <w:rPr>
          <w:b/>
        </w:rPr>
        <w:t xml:space="preserve">Škultéty a kol. (2002) </w:t>
      </w:r>
      <w:r w:rsidRPr="00344365">
        <w:t>podotýka, že verejná správa vo svojej vlastnej podstate predstavuje správu verejných záležitostí, ktorá sa realizuje ako prejav výkonnej moci v štáte. Verejnú správu treba odlišovať od súkromnej správy. Verejná správa - ako správa verejných záležitostí - je správou vo verejnom záujme a subjekty, ktoré ju vykonávajú, realizujú ju ako právom uloženú povinnosť, a to zo svojho právneho postavenia ako verejnoprávnych subjektov. Naproti tomu súkromná správa spravuje len súkromné záležitosti, vykonávajú ju súkromné osoby, ktoré sledujú vlastné ciele.</w:t>
      </w:r>
    </w:p>
    <w:p w:rsidR="000518AB" w:rsidRPr="00344365" w:rsidRDefault="000518AB" w:rsidP="000518AB">
      <w:pPr>
        <w:ind w:firstLine="708"/>
      </w:pPr>
      <w:r w:rsidRPr="00344365">
        <w:t xml:space="preserve">Oblasť verejnej správy vyjadruje množinu všetkých spoločenských vzťahov, v ktorých sa realizuje verejná správa. Verejná správa je správou verejných záležitostí, vykonávaná vo verejnom záujme. Je prejavom výkonu verejnej moci, ktorou nedisponuje len štát, ale aj ďalšie neštátne subjekty, v prípade aj tak ustanovuje zákon </w:t>
      </w:r>
      <w:r w:rsidRPr="00344365">
        <w:rPr>
          <w:b/>
        </w:rPr>
        <w:t>(Košičiarová, 2004)</w:t>
      </w:r>
      <w:r w:rsidRPr="00344365">
        <w:t>.</w:t>
      </w:r>
    </w:p>
    <w:p w:rsidR="000518AB" w:rsidRPr="00344365" w:rsidRDefault="000518AB" w:rsidP="000518AB">
      <w:pPr>
        <w:ind w:firstLine="708"/>
      </w:pPr>
      <w:r w:rsidRPr="00344365">
        <w:rPr>
          <w:b/>
        </w:rPr>
        <w:lastRenderedPageBreak/>
        <w:t>Řehúřek (2001)</w:t>
      </w:r>
      <w:r w:rsidRPr="00344365">
        <w:t xml:space="preserve"> vymedzuje pojem verejná správa na jednej strane ako súhrn inštitúcií zaoberajúcich sa výkonom verejnej správy a na druhej strane ako samotný výkon spravovania vecí verejných. Verejnú správu na Slovensku tvoria dva podsystémy, a to štátna správa v podobe orgánov ústrednej štátnej správy a orgánov miestnej štátnej správy a územná samospráva, do ktorej zaraďujeme obce a vyššie územné celky. Správa vecí verejných sa má uskutočňovať čo najbližšie k občanovi ako primárnemu nositeľovi suverenity v občianskej spoločnosti, iba v prípade, že miestne orgány na taký výkon správy nestačia, posúva sa výkon správy na vyšší orgán.</w:t>
      </w:r>
    </w:p>
    <w:p w:rsidR="000518AB" w:rsidRPr="00344365" w:rsidRDefault="000518AB" w:rsidP="000518AB">
      <w:pPr>
        <w:ind w:firstLine="709"/>
      </w:pPr>
      <w:r w:rsidRPr="00344365">
        <w:rPr>
          <w:b/>
        </w:rPr>
        <w:t>Machajová a kol. (2007)</w:t>
      </w:r>
      <w:r w:rsidRPr="00344365">
        <w:t xml:space="preserve"> uvádza, že pojem verejná správa pomáhajú bližšie vymedziť tieto dva základné princípy:</w:t>
      </w:r>
    </w:p>
    <w:p w:rsidR="000518AB" w:rsidRPr="00344365" w:rsidRDefault="000518AB" w:rsidP="00A37004">
      <w:pPr>
        <w:numPr>
          <w:ilvl w:val="0"/>
          <w:numId w:val="14"/>
        </w:numPr>
        <w:spacing w:before="0"/>
      </w:pPr>
      <w:r w:rsidRPr="00344365">
        <w:t>materiálny (označuje sa tiež ako funkčný či dynamický);</w:t>
      </w:r>
    </w:p>
    <w:p w:rsidR="000518AB" w:rsidRPr="00344365" w:rsidRDefault="000518AB" w:rsidP="00A37004">
      <w:pPr>
        <w:numPr>
          <w:ilvl w:val="0"/>
          <w:numId w:val="14"/>
        </w:numPr>
        <w:spacing w:before="0"/>
      </w:pPr>
      <w:r w:rsidRPr="00344365">
        <w:t>formálny (označuje sa tiež ako inštitucionálny, organizačný či statický).</w:t>
      </w:r>
    </w:p>
    <w:p w:rsidR="000518AB" w:rsidRPr="00344365" w:rsidRDefault="000518AB" w:rsidP="000518AB">
      <w:pPr>
        <w:pStyle w:val="Zarkazkladnhotextu"/>
        <w:ind w:left="0"/>
        <w:contextualSpacing/>
      </w:pPr>
      <w:r w:rsidRPr="00344365">
        <w:t>Z materiálneho hľadiska vnímame verejnú správu ako druh správnej činnosti; z formálneho hľadiska sa kladie dôraz na inštitúcie a ich orgány, ktoré majú zo zákona kompetencie spravovať. Verejná správa (public administration, administratif public, Verwaltung) je predmetom regulácie predovšetkým správneho práva ako samostatného právneho odvetvia. Správne právo sa v tejto súvislosti chápe ako osobitné právo verejnej správy. Upravuje organizáciu verejnej správy, jej činnosť, podmienky vykonávania takejto činnosti, ako aj postupy spravujúcich a spravovaných subjektov, v rámci ktorých vykonáva svoje spravovacie kompetencie a spravovaný realizuje svoje práva i povinnosti vo verejnej správe.</w:t>
      </w:r>
    </w:p>
    <w:p w:rsidR="000518AB" w:rsidRPr="00344365" w:rsidRDefault="000518AB" w:rsidP="000518AB">
      <w:pPr>
        <w:pStyle w:val="Zarkazkladnhotextu"/>
        <w:ind w:left="0"/>
        <w:contextualSpacing/>
      </w:pPr>
      <w:r w:rsidRPr="00344365">
        <w:tab/>
      </w:r>
      <w:r w:rsidRPr="00344365">
        <w:rPr>
          <w:b/>
        </w:rPr>
        <w:t>Nižňanský (2005)</w:t>
      </w:r>
      <w:r w:rsidRPr="00344365">
        <w:t xml:space="preserve"> konštatuje, že verejná správa na Slovensku pôsobí v tzv. oddelenom modeli (štátna správa, územná samospráva) na troch úrovniach:</w:t>
      </w:r>
    </w:p>
    <w:p w:rsidR="000518AB" w:rsidRPr="00344365" w:rsidRDefault="000518AB" w:rsidP="00A37004">
      <w:pPr>
        <w:pStyle w:val="Zarkazkladnhotextu"/>
        <w:numPr>
          <w:ilvl w:val="0"/>
          <w:numId w:val="15"/>
        </w:numPr>
        <w:spacing w:before="0" w:after="0"/>
        <w:contextualSpacing/>
      </w:pPr>
      <w:r w:rsidRPr="00344365">
        <w:t>miestna úroveň (obec, mesto);</w:t>
      </w:r>
    </w:p>
    <w:p w:rsidR="000518AB" w:rsidRPr="00344365" w:rsidRDefault="000518AB" w:rsidP="00A37004">
      <w:pPr>
        <w:pStyle w:val="Zarkazkladnhotextu"/>
        <w:numPr>
          <w:ilvl w:val="0"/>
          <w:numId w:val="15"/>
        </w:numPr>
        <w:spacing w:before="0" w:after="0"/>
        <w:contextualSpacing/>
      </w:pPr>
      <w:r w:rsidRPr="00344365">
        <w:t>vyšší územný celok (kraj);</w:t>
      </w:r>
    </w:p>
    <w:p w:rsidR="000518AB" w:rsidRPr="00344365" w:rsidRDefault="000518AB" w:rsidP="00A37004">
      <w:pPr>
        <w:pStyle w:val="Zarkazkladnhotextu"/>
        <w:numPr>
          <w:ilvl w:val="0"/>
          <w:numId w:val="15"/>
        </w:numPr>
        <w:spacing w:before="0" w:after="0"/>
        <w:contextualSpacing/>
      </w:pPr>
      <w:r w:rsidRPr="00344365">
        <w:t>štát (Slovenská republika ako celok).</w:t>
      </w:r>
    </w:p>
    <w:p w:rsidR="00A727DA" w:rsidRPr="00C04C25" w:rsidRDefault="000518AB" w:rsidP="00956A22">
      <w:pPr>
        <w:pStyle w:val="ZPNormalnyText"/>
      </w:pPr>
      <w:r w:rsidRPr="00C04C25">
        <w:t>Orgány na všetkých úrovniach verejnej správy sa riadia verejným a súkromným právom, čo znamená, že pri zabezpečovaní verejných úloh sú povinné realizovať úlohy, ktoré sú im zverené zo zákona a ako právnické osoby môžu konať úkony, ktoré sú dohodami predstaviteľov obce, samosprávneho kraja, resp. štátu a ich obyvateľov.</w:t>
      </w:r>
    </w:p>
    <w:p w:rsidR="00A727DA" w:rsidRDefault="00A727DA" w:rsidP="00956A22">
      <w:pPr>
        <w:pStyle w:val="ZPNormalnyText"/>
      </w:pPr>
    </w:p>
    <w:p w:rsidR="00A727DA" w:rsidRPr="00CE6825" w:rsidRDefault="001E5392" w:rsidP="00472F63">
      <w:pPr>
        <w:pStyle w:val="ZPPodNadpis3urovenTimesNewRoman"/>
      </w:pPr>
      <w:bookmarkStart w:id="12" w:name="_Toc224306947"/>
      <w:bookmarkStart w:id="13" w:name="_Ref102194739"/>
      <w:bookmarkStart w:id="14" w:name="_Toc102191185"/>
      <w:r w:rsidRPr="00CE6825">
        <w:lastRenderedPageBreak/>
        <w:t>Správne právo ako osobitné právo verejnej správy</w:t>
      </w:r>
      <w:r w:rsidR="00A727DA" w:rsidRPr="00CE6825">
        <w:t xml:space="preserve"> </w:t>
      </w:r>
      <w:bookmarkEnd w:id="12"/>
      <w:bookmarkEnd w:id="13"/>
      <w:bookmarkEnd w:id="14"/>
    </w:p>
    <w:p w:rsidR="001E5392" w:rsidRPr="00344365" w:rsidRDefault="001E5392" w:rsidP="001E5392">
      <w:pPr>
        <w:pStyle w:val="Zarkazkladnhotextu"/>
        <w:ind w:left="0" w:firstLine="709"/>
        <w:contextualSpacing/>
      </w:pPr>
      <w:r w:rsidRPr="00344365">
        <w:rPr>
          <w:b/>
        </w:rPr>
        <w:t xml:space="preserve">Marišová - Ilková - Belicová (2002) </w:t>
      </w:r>
      <w:r w:rsidRPr="00344365">
        <w:t>tvrdia, že správnym právom rozumieme odvetvie slovenského práva, ktoré upravuje spoločenské vzťahy v oblasti verejnej správy, a to tie, ktoré vznikajú medzi správnymi orgánmi a fyzickými osobami, medzi správnymi orgánmi a právnickými osobami a medzi správnymi orgánmi navzájom. Na rozdiel od iných odvetví slovenského práva, správne právo nie je obsiahnuté v jednom, resp. niekoľkých právnych predpisov. Správne právo je zahrnuté do množstva zákonov, ale najmä podzákonných predpisov, v dôsledku čoho potom hovoríme o tomto právnom odvetví, že je nekodifikované. Čiastočná kodifikácia bola urobená tak v hmotnom ako aj procesnom správnom práve.</w:t>
      </w:r>
    </w:p>
    <w:p w:rsidR="001E5392" w:rsidRPr="00344365" w:rsidRDefault="001E5392" w:rsidP="001E5392">
      <w:pPr>
        <w:pStyle w:val="Zarkazkladnhotextu"/>
        <w:ind w:left="0" w:firstLine="709"/>
        <w:contextualSpacing/>
      </w:pPr>
      <w:r w:rsidRPr="00344365">
        <w:t>Podľa</w:t>
      </w:r>
      <w:r w:rsidRPr="00344365">
        <w:rPr>
          <w:b/>
        </w:rPr>
        <w:t xml:space="preserve"> Machajovej a kol. (2007)</w:t>
      </w:r>
      <w:r w:rsidRPr="00344365">
        <w:t xml:space="preserve"> sa správne právo člení na:</w:t>
      </w:r>
    </w:p>
    <w:p w:rsidR="001E5392" w:rsidRPr="00344365" w:rsidRDefault="001E5392" w:rsidP="00A37004">
      <w:pPr>
        <w:pStyle w:val="Zarkazkladnhotextu"/>
        <w:numPr>
          <w:ilvl w:val="0"/>
          <w:numId w:val="16"/>
        </w:numPr>
        <w:spacing w:before="0" w:after="0"/>
        <w:contextualSpacing/>
      </w:pPr>
      <w:r w:rsidRPr="00344365">
        <w:t>hmotné - súhrn verejnoprávnych noriem upravujúcich jednak kompetencie (pôsobnosť a právomoc) nositeľov verejnej správy, jednak práva, právom chránené záujmy a povinnosti fyzických osôb, právnických osôb a iných subjektov pri výkone verejnej správy. Hmotnoprávne normy správneho práva teda regulujú obsah činnosti orgánov verejnej správy na jednotlivých úsekoch, ustanovujú požiadavky na plnenie úloh verejnej správy a na realizáciu práv a povinností jednotlivca (fyzickej osoby) alebo právnickej osoby voči verejnej správe;</w:t>
      </w:r>
    </w:p>
    <w:p w:rsidR="001E5392" w:rsidRPr="00344365" w:rsidRDefault="001E5392" w:rsidP="00A37004">
      <w:pPr>
        <w:pStyle w:val="Zarkazkladnhotextu"/>
        <w:numPr>
          <w:ilvl w:val="0"/>
          <w:numId w:val="16"/>
        </w:numPr>
        <w:spacing w:before="0" w:after="0"/>
        <w:contextualSpacing/>
      </w:pPr>
      <w:r w:rsidRPr="00344365">
        <w:t xml:space="preserve">procesné - súhrn procesnoprávnych noriem regulujúcich postup jednak nositeľov verejnej správy (spravujúcich) pri realizácii ich kompetencií, ako aj postup spravovaných osôb či iných subjektov pri realizácii ich práv, právom chránených záujmov a povinností.  </w:t>
      </w:r>
    </w:p>
    <w:p w:rsidR="001E5392" w:rsidRPr="00344365" w:rsidRDefault="001E5392" w:rsidP="001E5392">
      <w:pPr>
        <w:pStyle w:val="Zarkazkladnhotextu"/>
        <w:ind w:left="0"/>
        <w:contextualSpacing/>
      </w:pPr>
      <w:r w:rsidRPr="00344365">
        <w:t>Kým správne právo hmotné odpovedá na otázku, čo je obsahom činnosti verejnej správy, aké práva a povinnosti majú spravujúci i spravovaní či ďalšie subjekty, správne právo procesné odpovedá na otázku, akými postupmi sa verejná správa vykonáva.</w:t>
      </w:r>
    </w:p>
    <w:p w:rsidR="001E5392" w:rsidRPr="00344365" w:rsidRDefault="001E5392" w:rsidP="001E5392">
      <w:pPr>
        <w:pStyle w:val="Zarkazkladnhotextu"/>
        <w:ind w:firstLine="709"/>
        <w:contextualSpacing/>
        <w:rPr>
          <w:b/>
        </w:rPr>
      </w:pPr>
    </w:p>
    <w:p w:rsidR="001E5392" w:rsidRPr="00344365" w:rsidRDefault="001E5392" w:rsidP="001E5392">
      <w:pPr>
        <w:pStyle w:val="Zarkazkladnhotextu"/>
        <w:ind w:firstLine="709"/>
        <w:contextualSpacing/>
        <w:rPr>
          <w:b/>
        </w:rPr>
      </w:pPr>
    </w:p>
    <w:p w:rsidR="001E5392" w:rsidRPr="00344365" w:rsidRDefault="001E5392" w:rsidP="001E5392">
      <w:pPr>
        <w:pStyle w:val="Zarkazkladnhotextu"/>
        <w:ind w:firstLine="709"/>
        <w:contextualSpacing/>
        <w:rPr>
          <w:b/>
        </w:rPr>
      </w:pPr>
    </w:p>
    <w:p w:rsidR="001E5392" w:rsidRPr="00344365" w:rsidRDefault="001E5392" w:rsidP="001E5392">
      <w:pPr>
        <w:pStyle w:val="Zarkazkladnhotextu"/>
        <w:ind w:firstLine="709"/>
        <w:contextualSpacing/>
        <w:rPr>
          <w:b/>
        </w:rPr>
      </w:pPr>
    </w:p>
    <w:p w:rsidR="001E5392" w:rsidRPr="00344365" w:rsidRDefault="001E5392" w:rsidP="001E5392">
      <w:pPr>
        <w:pStyle w:val="Zarkazkladnhotextu"/>
        <w:ind w:firstLine="709"/>
        <w:contextualSpacing/>
        <w:rPr>
          <w:b/>
        </w:rPr>
      </w:pPr>
    </w:p>
    <w:p w:rsidR="001E5392" w:rsidRPr="00344365" w:rsidRDefault="001E5392" w:rsidP="001E5392">
      <w:pPr>
        <w:pStyle w:val="Zarkazkladnhotextu"/>
        <w:ind w:firstLine="709"/>
        <w:contextualSpacing/>
        <w:rPr>
          <w:b/>
        </w:rPr>
      </w:pPr>
    </w:p>
    <w:p w:rsidR="001E5392" w:rsidRPr="00344365" w:rsidRDefault="001E5392" w:rsidP="001E5392">
      <w:pPr>
        <w:pStyle w:val="Zarkazkladnhotextu"/>
        <w:ind w:firstLine="709"/>
        <w:contextualSpacing/>
        <w:rPr>
          <w:b/>
        </w:rPr>
      </w:pPr>
    </w:p>
    <w:p w:rsidR="001E5392" w:rsidRPr="00344365" w:rsidRDefault="001E5392" w:rsidP="001E5392">
      <w:pPr>
        <w:pStyle w:val="Zarkazkladnhotextu"/>
        <w:ind w:left="0" w:firstLine="709"/>
        <w:contextualSpacing/>
      </w:pPr>
      <w:r w:rsidRPr="00344365">
        <w:rPr>
          <w:b/>
        </w:rPr>
        <w:lastRenderedPageBreak/>
        <w:t xml:space="preserve">Škultéty a kol. (2002) </w:t>
      </w:r>
      <w:r w:rsidRPr="00344365">
        <w:t>konštatuje, že subjektom správneho práva je potenciálny alebo skutočný účastník právnych vzťahov, ktorý je spôsobilý byť nositeľom práv a povinností. Z toho vyplýva, že subjekt správneho práva musí mať právnu subjektivitu, okruhu ktorej spravidla zahŕňame:</w:t>
      </w:r>
    </w:p>
    <w:p w:rsidR="001E5392" w:rsidRPr="00344365" w:rsidRDefault="001E5392" w:rsidP="00A37004">
      <w:pPr>
        <w:pStyle w:val="Zarkazkladnhotextu"/>
        <w:numPr>
          <w:ilvl w:val="0"/>
          <w:numId w:val="17"/>
        </w:numPr>
        <w:spacing w:before="0" w:after="0"/>
        <w:contextualSpacing/>
      </w:pPr>
      <w:r w:rsidRPr="00344365">
        <w:t>spôsobilosť mať práva a povinnosti ustanovené normami správneho práva;</w:t>
      </w:r>
    </w:p>
    <w:p w:rsidR="001E5392" w:rsidRPr="00344365" w:rsidRDefault="001E5392" w:rsidP="00A37004">
      <w:pPr>
        <w:pStyle w:val="Zarkazkladnhotextu"/>
        <w:numPr>
          <w:ilvl w:val="0"/>
          <w:numId w:val="17"/>
        </w:numPr>
        <w:spacing w:before="0" w:after="0"/>
        <w:contextualSpacing/>
      </w:pPr>
      <w:r w:rsidRPr="00344365">
        <w:t>spôsobilosť na právne úkony, t.j. spôsobilosť nadobúdať práva a povinnosti vlastnými právnymi úkonmi;</w:t>
      </w:r>
    </w:p>
    <w:p w:rsidR="001E5392" w:rsidRPr="00344365" w:rsidRDefault="001E5392" w:rsidP="00A37004">
      <w:pPr>
        <w:pStyle w:val="Zarkazkladnhotextu"/>
        <w:numPr>
          <w:ilvl w:val="0"/>
          <w:numId w:val="17"/>
        </w:numPr>
        <w:spacing w:before="0" w:after="0"/>
        <w:contextualSpacing/>
      </w:pPr>
      <w:r w:rsidRPr="00344365">
        <w:t>deliktuálna spôsobilosť, t.j. mať právnu zodpovednosť za protiprávne konanie;</w:t>
      </w:r>
    </w:p>
    <w:p w:rsidR="001E5392" w:rsidRPr="00344365" w:rsidRDefault="001E5392" w:rsidP="00A37004">
      <w:pPr>
        <w:pStyle w:val="Zarkazkladnhotextu"/>
        <w:numPr>
          <w:ilvl w:val="0"/>
          <w:numId w:val="17"/>
        </w:numPr>
        <w:spacing w:before="0" w:after="0"/>
        <w:contextualSpacing/>
      </w:pPr>
      <w:r w:rsidRPr="00344365">
        <w:t>procesnú spôsobilosť, t.j. spôsobilosť byť účastníkom konania a vystupovať v samotnom konaní.</w:t>
      </w:r>
    </w:p>
    <w:p w:rsidR="00A727DA" w:rsidRDefault="001E5392" w:rsidP="00956A22">
      <w:pPr>
        <w:pStyle w:val="ZPNormalnyText"/>
        <w:rPr>
          <w:highlight w:val="lightGray"/>
        </w:rPr>
      </w:pPr>
      <w:r w:rsidRPr="00344365">
        <w:t>Medzi subjekty správneho práva začleňujeme predovšetkým orgány štátnej správy, orgány územnej samosprávy, fyzické osoby, právnické osoby a pod.</w:t>
      </w:r>
    </w:p>
    <w:p w:rsidR="001E5392" w:rsidRDefault="001E5392" w:rsidP="00956A22">
      <w:pPr>
        <w:pStyle w:val="ZPNormalnyText"/>
        <w:rPr>
          <w:highlight w:val="lightGray"/>
        </w:rPr>
      </w:pPr>
    </w:p>
    <w:p w:rsidR="008A71B0" w:rsidRPr="008A71B0" w:rsidRDefault="008A71B0" w:rsidP="00CF141A">
      <w:pPr>
        <w:pStyle w:val="ZPPodNadpisKapitolyTimesNewRoman"/>
      </w:pPr>
      <w:r w:rsidRPr="008A71B0">
        <w:t>Správne právo procesné</w:t>
      </w:r>
    </w:p>
    <w:p w:rsidR="008A71B0" w:rsidRPr="008A71B0" w:rsidRDefault="008A71B0" w:rsidP="00472F63">
      <w:pPr>
        <w:pStyle w:val="ZPPodNadpis3urovenTimesNewRoman"/>
      </w:pPr>
      <w:r w:rsidRPr="008A71B0">
        <w:t xml:space="preserve">Definícia a právna úprava správneho poriadku </w:t>
      </w:r>
    </w:p>
    <w:p w:rsidR="008A71B0" w:rsidRPr="00344365" w:rsidRDefault="008A71B0" w:rsidP="008A71B0">
      <w:pPr>
        <w:pStyle w:val="Zarkazkladnhotextu"/>
        <w:ind w:left="0" w:firstLine="720"/>
        <w:contextualSpacing/>
      </w:pPr>
      <w:r w:rsidRPr="00344365">
        <w:t xml:space="preserve">Základným procesným predpisom, na základe ktorého sa rozhodovacie procesy v celej verejnej správe, a teda i na úrovni samosprávy uskutočňujú, je zákon č. 71/1967 Zb. o správnom konaní (správny poriadok). Zákon upravuje základnú štruktúru a pravidlá postupu v správnom konaní, ktoré sú povinní účastníci správneho konania dodržiavať. Zákon o správnom konaní je považovaný za čiastočnú kodifikáciu správneho práva procesného </w:t>
      </w:r>
      <w:r w:rsidRPr="00344365">
        <w:rPr>
          <w:b/>
        </w:rPr>
        <w:t>(Nižňanský, 2005)</w:t>
      </w:r>
      <w:r w:rsidRPr="00344365">
        <w:t>.</w:t>
      </w:r>
    </w:p>
    <w:p w:rsidR="008A71B0" w:rsidRPr="00344365" w:rsidRDefault="008A71B0" w:rsidP="008A71B0">
      <w:pPr>
        <w:pStyle w:val="Zarkazkladnhotextu"/>
        <w:tabs>
          <w:tab w:val="left" w:pos="709"/>
        </w:tabs>
        <w:ind w:left="0"/>
        <w:contextualSpacing/>
      </w:pPr>
      <w:r w:rsidRPr="00344365">
        <w:tab/>
      </w:r>
      <w:r w:rsidRPr="00344365">
        <w:rPr>
          <w:b/>
        </w:rPr>
        <w:t>Vrabko (2007)</w:t>
      </w:r>
      <w:r w:rsidRPr="00344365">
        <w:t xml:space="preserve"> uvádza, že správne konanie je normami správneho práva upravený postup správnych orgánov, účastníkov konania zúčastnených osôb a ďalších osôb pri vydávaní, preskúmavaní a nútenom výkone rozhodnutia formou individuálneho správneho aktu, v ktorom správne orgány rozhodujú o konkrétnych právach a právom chránených záujmoch a povinnostiach fyzických a právnických osôb v oblasti verejnej správy.</w:t>
      </w:r>
    </w:p>
    <w:p w:rsidR="008A71B0" w:rsidRDefault="008A71B0" w:rsidP="008A71B0">
      <w:pPr>
        <w:pStyle w:val="Zarkazkladnhotextu"/>
        <w:contextualSpacing/>
      </w:pPr>
      <w:r w:rsidRPr="00344365">
        <w:tab/>
      </w:r>
    </w:p>
    <w:p w:rsidR="008A71B0" w:rsidRDefault="008A71B0" w:rsidP="008A71B0">
      <w:pPr>
        <w:pStyle w:val="Zarkazkladnhotextu"/>
        <w:contextualSpacing/>
      </w:pPr>
    </w:p>
    <w:p w:rsidR="008A71B0" w:rsidRDefault="008A71B0" w:rsidP="008A71B0">
      <w:pPr>
        <w:pStyle w:val="Zarkazkladnhotextu"/>
        <w:contextualSpacing/>
      </w:pPr>
    </w:p>
    <w:p w:rsidR="008A71B0" w:rsidRDefault="008A71B0" w:rsidP="008A71B0">
      <w:pPr>
        <w:pStyle w:val="Zarkazkladnhotextu"/>
        <w:contextualSpacing/>
      </w:pPr>
    </w:p>
    <w:p w:rsidR="008A71B0" w:rsidRPr="00344365" w:rsidRDefault="008A71B0" w:rsidP="008A71B0">
      <w:pPr>
        <w:pStyle w:val="Zarkazkladnhotextu"/>
        <w:ind w:left="0" w:firstLine="709"/>
        <w:contextualSpacing/>
      </w:pPr>
      <w:r w:rsidRPr="00344365">
        <w:rPr>
          <w:b/>
        </w:rPr>
        <w:lastRenderedPageBreak/>
        <w:t>Sobihard (2007)</w:t>
      </w:r>
      <w:r w:rsidRPr="00344365">
        <w:t xml:space="preserve"> tvrdí, že správne konanie je vybudované na určitých právnych postulátoch, ktoré sú označované ako procesné zásady. Týmito zásadami sa správny poriadok odlišuje jednak od ostatných procesov prebiehajúcich v oblasti verejnej správy, ako aj od procesných zásad uplatňovaných inými orgánmi štátnej moci, najmä súdmi. Uvedenými procesnými zásadami sa spravuje celé správne konanie, vo všetkých jeho štádiách. </w:t>
      </w:r>
    </w:p>
    <w:p w:rsidR="008A71B0" w:rsidRPr="00344365" w:rsidRDefault="008A71B0" w:rsidP="008A71B0">
      <w:pPr>
        <w:pStyle w:val="Zarkazkladnhotextu"/>
        <w:ind w:left="0" w:firstLine="709"/>
        <w:contextualSpacing/>
      </w:pPr>
      <w:r w:rsidRPr="00344365">
        <w:tab/>
        <w:t xml:space="preserve">Medzi základné zásady správneho konania podľa </w:t>
      </w:r>
      <w:r w:rsidRPr="00344365">
        <w:rPr>
          <w:b/>
        </w:rPr>
        <w:t xml:space="preserve">Mirossayovej (2000) </w:t>
      </w:r>
      <w:r w:rsidRPr="00344365">
        <w:t>patrí:</w:t>
      </w:r>
    </w:p>
    <w:p w:rsidR="008A71B0" w:rsidRPr="00344365" w:rsidRDefault="008A71B0" w:rsidP="00A37004">
      <w:pPr>
        <w:pStyle w:val="Zarkazkladnhotextu"/>
        <w:numPr>
          <w:ilvl w:val="0"/>
          <w:numId w:val="18"/>
        </w:numPr>
        <w:spacing w:before="0" w:after="0"/>
        <w:contextualSpacing/>
      </w:pPr>
      <w:r w:rsidRPr="00344365">
        <w:t>zásada zákonnosti;</w:t>
      </w:r>
    </w:p>
    <w:p w:rsidR="008A71B0" w:rsidRPr="00344365" w:rsidRDefault="008A71B0" w:rsidP="00A37004">
      <w:pPr>
        <w:pStyle w:val="Zarkazkladnhotextu"/>
        <w:numPr>
          <w:ilvl w:val="0"/>
          <w:numId w:val="18"/>
        </w:numPr>
        <w:spacing w:before="0" w:after="0"/>
        <w:contextualSpacing/>
      </w:pPr>
      <w:r w:rsidRPr="00344365">
        <w:t>zásada materiálnej pravdy;</w:t>
      </w:r>
    </w:p>
    <w:p w:rsidR="008A71B0" w:rsidRPr="00344365" w:rsidRDefault="008A71B0" w:rsidP="00A37004">
      <w:pPr>
        <w:pStyle w:val="Zarkazkladnhotextu"/>
        <w:numPr>
          <w:ilvl w:val="0"/>
          <w:numId w:val="18"/>
        </w:numPr>
        <w:spacing w:before="0" w:after="0"/>
        <w:contextualSpacing/>
      </w:pPr>
      <w:r w:rsidRPr="00344365">
        <w:t>zásada aktívnej súčinnosti účastníkov konania;</w:t>
      </w:r>
    </w:p>
    <w:p w:rsidR="008A71B0" w:rsidRPr="00344365" w:rsidRDefault="008A71B0" w:rsidP="00A37004">
      <w:pPr>
        <w:pStyle w:val="Zarkazkladnhotextu"/>
        <w:numPr>
          <w:ilvl w:val="0"/>
          <w:numId w:val="18"/>
        </w:numPr>
        <w:spacing w:before="0" w:after="0"/>
        <w:contextualSpacing/>
      </w:pPr>
      <w:r w:rsidRPr="00344365">
        <w:t>zásada rýchlosti a hospodárnosti konania;</w:t>
      </w:r>
    </w:p>
    <w:p w:rsidR="008A71B0" w:rsidRPr="00344365" w:rsidRDefault="008A71B0" w:rsidP="00A37004">
      <w:pPr>
        <w:pStyle w:val="Zarkazkladnhotextu"/>
        <w:numPr>
          <w:ilvl w:val="0"/>
          <w:numId w:val="18"/>
        </w:numPr>
        <w:spacing w:before="0" w:after="0"/>
        <w:contextualSpacing/>
      </w:pPr>
      <w:r w:rsidRPr="00344365">
        <w:t>zásada rovnosti účastníkov v konaní;</w:t>
      </w:r>
    </w:p>
    <w:p w:rsidR="008A71B0" w:rsidRPr="00344365" w:rsidRDefault="008A71B0" w:rsidP="00A37004">
      <w:pPr>
        <w:pStyle w:val="Zarkazkladnhotextu"/>
        <w:numPr>
          <w:ilvl w:val="0"/>
          <w:numId w:val="18"/>
        </w:numPr>
        <w:spacing w:before="0" w:after="0"/>
        <w:contextualSpacing/>
      </w:pPr>
      <w:r w:rsidRPr="00344365">
        <w:t>zásada voľného hodnotenia dôkazov;</w:t>
      </w:r>
    </w:p>
    <w:p w:rsidR="008A71B0" w:rsidRPr="00344365" w:rsidRDefault="008A71B0" w:rsidP="00A37004">
      <w:pPr>
        <w:pStyle w:val="Zarkazkladnhotextu"/>
        <w:numPr>
          <w:ilvl w:val="0"/>
          <w:numId w:val="18"/>
        </w:numPr>
        <w:spacing w:before="0" w:after="0"/>
        <w:contextualSpacing/>
      </w:pPr>
      <w:r w:rsidRPr="00344365">
        <w:t>zásada dvojstupňového konania.</w:t>
      </w:r>
    </w:p>
    <w:p w:rsidR="008A71B0" w:rsidRPr="00344365" w:rsidRDefault="008A71B0" w:rsidP="008A71B0">
      <w:pPr>
        <w:pStyle w:val="Zarkazkladnhotextu"/>
        <w:ind w:left="0" w:firstLine="709"/>
        <w:contextualSpacing/>
      </w:pPr>
      <w:r w:rsidRPr="00344365">
        <w:t xml:space="preserve">Aby prebehlo správne konanie, musí existovať niekto, kto je oprávnený rozhodnúť o práve, právom chránenom záujme alebo povinnosti, a niekto, o koho práve, právom chránenom záujme alebo povinnosti sa bude rozhodovať. Právna teória považuje takéto osoby za subjekty správneho konania, pretože sú nositeľmi zákonom ustanovených procesných práv a povinností, ktoré využívajú v správnom konaní a v konečnom dôsledku ovplyvňujú výsledok správneho konania - rozhodnutie vo veci samej. Ten, kto rozhoduje o práve a povinnosti, je správny orgán </w:t>
      </w:r>
      <w:r w:rsidRPr="00344365">
        <w:rPr>
          <w:b/>
        </w:rPr>
        <w:t>(Košičiarová, 2004)</w:t>
      </w:r>
      <w:r w:rsidRPr="00344365">
        <w:t xml:space="preserve">. </w:t>
      </w:r>
    </w:p>
    <w:p w:rsidR="008A71B0" w:rsidRPr="00344365" w:rsidRDefault="008A71B0" w:rsidP="008A71B0">
      <w:pPr>
        <w:pStyle w:val="Zarkazkladnhotextu"/>
        <w:ind w:left="0" w:firstLine="709"/>
        <w:contextualSpacing/>
      </w:pPr>
      <w:r w:rsidRPr="00344365">
        <w:t xml:space="preserve">Účastníkom konania, ako uvádza </w:t>
      </w:r>
      <w:r w:rsidRPr="00344365">
        <w:rPr>
          <w:b/>
        </w:rPr>
        <w:t>Bezáková a kol. (2008)</w:t>
      </w:r>
      <w:r w:rsidRPr="00344365">
        <w:t xml:space="preserve">, je ten, o koho právach alebo právom chránených záujmoch a povinnostiach sa má konať, prípadne koho práva, záujmy alebo povinnosti môžu byť rozhodnutím priamo dotknuté. Účastníkom je aj ten, kto tvrdí, že je účastníkom konania až do času, kým sa mu v priebehu konania nepreukáže opak, alebo komu také postavenie priznáva osobitný právny predpis. </w:t>
      </w:r>
    </w:p>
    <w:p w:rsidR="001E5392" w:rsidRDefault="007C5293" w:rsidP="00956A22">
      <w:pPr>
        <w:pStyle w:val="ZPNormalnyText"/>
      </w:pPr>
      <w:r>
        <w:rPr>
          <w:b/>
        </w:rPr>
        <w:tab/>
      </w:r>
      <w:r w:rsidR="008A71B0" w:rsidRPr="00344365">
        <w:rPr>
          <w:b/>
        </w:rPr>
        <w:t>Vondráková - Galbavý (2008)</w:t>
      </w:r>
      <w:r w:rsidR="008A71B0" w:rsidRPr="00344365">
        <w:t xml:space="preserve"> tvrdia, že účastníkom konania môže byť len fyzická alebo právnická osoba. Nie je ním teda správny orgán. Postavenie účastníka konania určujú jeho procesné práva a povinnosti. Zatiaľ čo účastníci konania môžu mať v tom istom konaní rôzne oprávnenia a povinnosti hmotnoprávnej povahy, procesné práva a povinnosti majú vždy rovnaké.</w:t>
      </w:r>
    </w:p>
    <w:p w:rsidR="005044F0" w:rsidRDefault="005044F0" w:rsidP="00956A22">
      <w:pPr>
        <w:pStyle w:val="ZPNormalnyText"/>
      </w:pPr>
    </w:p>
    <w:p w:rsidR="005044F0" w:rsidRPr="005044F0" w:rsidRDefault="005044F0" w:rsidP="00472F63">
      <w:pPr>
        <w:pStyle w:val="ZPPodNadpis3urovenTimesNewRoman"/>
      </w:pPr>
      <w:r w:rsidRPr="005044F0">
        <w:lastRenderedPageBreak/>
        <w:t xml:space="preserve">Rozhodnutie vydané v správnom konaní a možnosť podania opravného prostriedku </w:t>
      </w:r>
    </w:p>
    <w:p w:rsidR="005044F0" w:rsidRPr="00344365" w:rsidRDefault="005044F0" w:rsidP="005044F0">
      <w:pPr>
        <w:pStyle w:val="Zarkazkladnhotextu"/>
        <w:ind w:left="0" w:firstLine="709"/>
        <w:contextualSpacing/>
      </w:pPr>
      <w:r w:rsidRPr="00344365">
        <w:rPr>
          <w:b/>
        </w:rPr>
        <w:t>Sobihard (2007)</w:t>
      </w:r>
      <w:r w:rsidRPr="00344365">
        <w:t xml:space="preserve"> konštatuje, že správne konanie môže mať podobu jednostranného alebo dvojstranného procesu. Podobu jednostranného procesu má vtedy, ak sa rozhoduje o právnych pomeroch jedného účastníka, prípadne viacerých účastníkov so spoločnými záujmami. Špecifickou formou jednostranného procesu je uplatňovanie administratívnej zodpovednosti voči tým, ktorí porušili povinnosti na úseku verejnej správy. Dvojstranné procesy sú také procesy, pri ktorých dochádza ku kolízii záujmov medzi účastníkmi.</w:t>
      </w:r>
    </w:p>
    <w:p w:rsidR="005044F0" w:rsidRPr="00344365" w:rsidRDefault="005044F0" w:rsidP="005044F0">
      <w:pPr>
        <w:pStyle w:val="Zarkazkladnhotextu"/>
        <w:ind w:left="0" w:firstLine="709"/>
        <w:contextualSpacing/>
      </w:pPr>
      <w:r w:rsidRPr="00344365">
        <w:rPr>
          <w:b/>
        </w:rPr>
        <w:t xml:space="preserve">Marišová - Ilková - Belicová (2002) </w:t>
      </w:r>
      <w:r w:rsidRPr="00344365">
        <w:t xml:space="preserve">potvrdzujú, že správne konanie je dvojinštančné, t.j. proti rozhodnutiu v správnom konaní v prvom stupni sa pripúšťa opravný prostriedok, o ktorom rozhoduje správny orgán v druhom stupni. Rozhodnutie v druhom stupni je konečné a nepripúšťa sa proti nemu riadny opravný prostriedok. </w:t>
      </w:r>
    </w:p>
    <w:p w:rsidR="005044F0" w:rsidRPr="00344365" w:rsidRDefault="005044F0" w:rsidP="005044F0">
      <w:pPr>
        <w:pStyle w:val="Zarkazkladnhotextu"/>
        <w:ind w:left="0" w:firstLine="709"/>
        <w:contextualSpacing/>
      </w:pPr>
      <w:r w:rsidRPr="00344365">
        <w:t xml:space="preserve">Podľa </w:t>
      </w:r>
      <w:r w:rsidRPr="00344365">
        <w:rPr>
          <w:b/>
        </w:rPr>
        <w:t>Kučerovej (2002)</w:t>
      </w:r>
      <w:r w:rsidRPr="00344365">
        <w:t xml:space="preserve"> je rozhodnutie výsledkom a záverom celého správneho konania. Svojou povahou je individuálnym správnym aktom, ktorý vydáva správny orgán v konkrétnej veci fyzickej osoby alebo právnickej osoby v oblasti štátnej správy a samosprávy, ktorým sa upravujú konkrétne právne pomery účastníkov správneho konania. Rozhodnutie má právne účinky, ktorými zasahuje do právneho postavenia účastníkov konania. Rozhodnutím sa buď určitý stav, právo alebo povinnosť zakladá, mení alebo ruší (ide o tzv. rozhodnutie konštitutívne), alebo sa ním určité právo či povinnosť vyhlasujú za existujúce alebo neexistujúce (tzv. rozhodnutia deklaratórne). </w:t>
      </w:r>
    </w:p>
    <w:p w:rsidR="005044F0" w:rsidRPr="00344365" w:rsidRDefault="005044F0" w:rsidP="005044F0">
      <w:pPr>
        <w:pStyle w:val="Zarkazkladnhotextu"/>
        <w:ind w:left="0" w:firstLine="709"/>
        <w:contextualSpacing/>
      </w:pPr>
      <w:r w:rsidRPr="00344365">
        <w:rPr>
          <w:b/>
        </w:rPr>
        <w:t>Košičiarová (2004)</w:t>
      </w:r>
      <w:r w:rsidRPr="00344365">
        <w:t xml:space="preserve"> konštatuje, že podľa zákona č. 71/1967 Zb. rozhodnutie musí obsahovať predpísané náležitosti - výrok, odôvodnenie a poučenie, ak správny poriadok alebo osobitný zákon neustanovuje inak.</w:t>
      </w:r>
    </w:p>
    <w:p w:rsidR="005044F0" w:rsidRPr="00344365" w:rsidRDefault="005044F0" w:rsidP="005044F0">
      <w:pPr>
        <w:pStyle w:val="Zarkazkladnhotextu"/>
        <w:ind w:left="0" w:firstLine="709"/>
        <w:contextualSpacing/>
      </w:pPr>
      <w:r w:rsidRPr="00344365">
        <w:t xml:space="preserve">Výrok (enunciát) je kardinálna časť, pretože v ňom je umiestnené rozhodnutie vo veci s uvedením právneho predpisu, podľa ktorého sa rozhodlo. V ňom sa uvádzajú aj prípadné lehoty na plnenie uloženej povinnosti, podmienky povolenia nejakej činnosti a priznáva sa prípadná náhrada škody a náhrada trov konania. Odôvodnenie obsahuje dôvody, pre ktoré sa rozhodlo tak, ako je uvedené vo výroku, najmä ktoré dôkazy alebo skutočnosti boli rozhodujúcimi pre rozhodnutie. Poučenie o opravnom prostriedku musí obsahovať údaj o tom, či možno podať proti rozhodnutiu opravný prostriedok a dokedy a kam, alebo ide o konečné rozhodnutie, ako aj údaj o tom, či je preskúmateľné súdom </w:t>
      </w:r>
      <w:r w:rsidRPr="00344365">
        <w:rPr>
          <w:b/>
        </w:rPr>
        <w:t>(Machajová a kol, 2007)</w:t>
      </w:r>
      <w:r w:rsidRPr="00344365">
        <w:t>.</w:t>
      </w:r>
    </w:p>
    <w:p w:rsidR="005044F0" w:rsidRPr="00344365" w:rsidRDefault="005044F0" w:rsidP="009C56F9">
      <w:pPr>
        <w:pStyle w:val="Zarkazkladnhotextu"/>
        <w:ind w:left="0" w:firstLine="709"/>
        <w:contextualSpacing/>
      </w:pPr>
      <w:r w:rsidRPr="00344365">
        <w:rPr>
          <w:b/>
        </w:rPr>
        <w:lastRenderedPageBreak/>
        <w:t>Bezáková a kol. (2008)</w:t>
      </w:r>
      <w:r w:rsidRPr="00344365">
        <w:t xml:space="preserve"> tvrdí, že právoplatné rozhodnutie upravuje konečným a záväzným spôsobom právne pomery účastníkov konania, t.j. zásadne bráni tomu, aby sa vo veci znovu konalo a rozhodovalo (okrem prípadov obnovy konania a preskúmavania rozhodnutí mimo odvolacieho konania). Rozhodnutie nadobudne právoplatnosť márnym uplynutím lehoty určenej v rozhodnutí na podanie odvolania. To znamená, že ak účastník konania nepodá proti doručenému rozhodnutiu v stanovenej lehote odvolanie, rozhodnutie sa stáva právoplatným. Ak si účastník nesplní dobrovoľne povinnosť uloženú rozhodnutím v určitej lehote, rozhodnutie je vykonateľné po uplynutí tejto lehoty. Teda rozhodnutie, ktoré je už právoplatné, nemusí byť súčasne aj vykonateľné.</w:t>
      </w:r>
    </w:p>
    <w:p w:rsidR="005044F0" w:rsidRPr="00344365" w:rsidRDefault="005044F0" w:rsidP="009C56F9">
      <w:pPr>
        <w:pStyle w:val="Zarkazkladnhotextu"/>
        <w:ind w:left="0" w:firstLine="709"/>
        <w:contextualSpacing/>
      </w:pPr>
      <w:r w:rsidRPr="00344365">
        <w:rPr>
          <w:b/>
        </w:rPr>
        <w:t>Mirossayová (2000)</w:t>
      </w:r>
      <w:r w:rsidRPr="00344365">
        <w:t xml:space="preserve"> hovorí, že proti rozhodnutie správneho orgánu má účastník konania právo podať odvolanie, pokiaľ zákon neustanovuje inak alebo pokiaľ sa účastník konania odvolania písomne alebo ústne do zápisnice nevzdal. </w:t>
      </w:r>
    </w:p>
    <w:p w:rsidR="005044F0" w:rsidRPr="00344365" w:rsidRDefault="005044F0" w:rsidP="009C56F9">
      <w:pPr>
        <w:pStyle w:val="Zarkazkladnhotextu"/>
        <w:ind w:left="0" w:firstLine="709"/>
        <w:contextualSpacing/>
      </w:pPr>
      <w:r w:rsidRPr="00344365">
        <w:t xml:space="preserve">V anglickom jazyku sa opravný prostriedok povie „remedy“, čo najskôr môžeme preložiť ako liek alebo náprava, a možno aj cudzím slovom ako satisfakcia. Remedy počujeme v slove autoremedúra, čo je v správnom práve procedúra vlastného opravného prostriedku, kedy na návrh adresáta rozhodnutia priznáva autor rozhodnutia, že sa zmýlil. Opravný prostriedok tak všeobecne znamená právo remedúry prislúchajúce tomu, kto hľadá nápravu právnych pomerov, ktoré vyvolal, alebo ktoré sa ho priamo dotýkajú </w:t>
      </w:r>
      <w:r w:rsidRPr="00344365">
        <w:rPr>
          <w:b/>
        </w:rPr>
        <w:t>(Pomahač - Vidláková, 2002)</w:t>
      </w:r>
      <w:r w:rsidRPr="00344365">
        <w:t xml:space="preserve">. </w:t>
      </w:r>
    </w:p>
    <w:p w:rsidR="005044F0" w:rsidRPr="00344365" w:rsidRDefault="005044F0" w:rsidP="009C56F9">
      <w:pPr>
        <w:pStyle w:val="Zarkazkladnhotextu"/>
        <w:ind w:left="0" w:firstLine="709"/>
        <w:contextualSpacing/>
      </w:pPr>
      <w:r w:rsidRPr="00344365">
        <w:rPr>
          <w:b/>
        </w:rPr>
        <w:t>Marišová - Ilková - Belicová (2002)</w:t>
      </w:r>
      <w:r w:rsidRPr="00344365">
        <w:t xml:space="preserve"> uvádza, že riadnym opravným prostriedkom je odvolanie a rozklad. Sú to opravné prostriedky, ktoré môže účastník konania podať proti rozhodnutiu, ktoré ešte nenadobudlo právoplatnosť, teda tieto opravné prostriedky treba podať v lehote určenej v poučení rozhodnutia. Odvolanie sa podáva na správnom orgáne, ktorý rozhodnutie vydal v lehote 15 dní odo dňa oznámenia rozhodnutia. V prípade, že správny orgán „zabudne“ v rozhodnutí uviesť poučenie o možnosti podať opravný prostriedok, má účastník právo podať odvolanie až do 3 mesiacov odo dňa oznámenia rozhodnutia. </w:t>
      </w:r>
    </w:p>
    <w:p w:rsidR="005044F0" w:rsidRPr="00344365" w:rsidRDefault="005044F0" w:rsidP="009C56F9">
      <w:pPr>
        <w:pStyle w:val="Zarkazkladnhotextu"/>
        <w:ind w:left="0" w:firstLine="709"/>
        <w:contextualSpacing/>
      </w:pPr>
      <w:r w:rsidRPr="00344365">
        <w:rPr>
          <w:b/>
        </w:rPr>
        <w:t>Vrabko (2007)</w:t>
      </w:r>
      <w:r w:rsidRPr="00344365">
        <w:t xml:space="preserve"> chápe odvolanie ako podanie opravného prostriedku, prostredníctvom ktorého účastník konania žiada, aby odvolací orgán preskúmal rozhodnutie prvostupňového orgánu. Odvolacie konanie sa teda začína iba na podnet oprávneného účastníka konania, a to podaním odvolania.  </w:t>
      </w:r>
    </w:p>
    <w:p w:rsidR="009C56F9" w:rsidRDefault="009C56F9" w:rsidP="005044F0">
      <w:pPr>
        <w:pStyle w:val="Zarkazkladnhotextu"/>
        <w:contextualSpacing/>
        <w:rPr>
          <w:b/>
        </w:rPr>
      </w:pPr>
    </w:p>
    <w:p w:rsidR="005044F0" w:rsidRPr="00344365" w:rsidRDefault="005044F0" w:rsidP="009C56F9">
      <w:pPr>
        <w:pStyle w:val="Zarkazkladnhotextu"/>
        <w:ind w:left="0" w:firstLine="709"/>
        <w:contextualSpacing/>
      </w:pPr>
      <w:r w:rsidRPr="00344365">
        <w:rPr>
          <w:b/>
        </w:rPr>
        <w:lastRenderedPageBreak/>
        <w:t>Marišová - Ilková - Belicová (2002)</w:t>
      </w:r>
      <w:r w:rsidRPr="00344365">
        <w:t xml:space="preserve"> konštatujú, že proti rozhodnutiu odvolacieho druhostupňového orgánu nie je možné podať riadny opravný prostriedok. To znamená, že doručením druhostupňového rozhodnutia účastníkovi konania toto rozhodnutie nadobúda právoplatnosť a je konečné.                                             </w:t>
      </w:r>
    </w:p>
    <w:p w:rsidR="005044F0" w:rsidRPr="00344365" w:rsidRDefault="005044F0" w:rsidP="009C56F9">
      <w:pPr>
        <w:pStyle w:val="Zarkazkladnhotextu"/>
        <w:ind w:left="0" w:firstLine="709"/>
        <w:contextualSpacing/>
      </w:pPr>
      <w:r w:rsidRPr="00344365">
        <w:rPr>
          <w:b/>
        </w:rPr>
        <w:t>Mirossayová (2000)</w:t>
      </w:r>
      <w:r w:rsidRPr="00344365">
        <w:t xml:space="preserve"> tvrdí, že správny zákon pozná i tzv. mimoriadne opravné prostriedky, ktoré prichádzajú na rad vtedy, keď napadnuté rozhodnutie je už právoplatné, a teda odvolanie nie je prípustné. K mimoriadnym opravným prostriedkom patrí:</w:t>
      </w:r>
    </w:p>
    <w:p w:rsidR="005044F0" w:rsidRPr="00344365" w:rsidRDefault="005044F0" w:rsidP="00A37004">
      <w:pPr>
        <w:pStyle w:val="Zarkazkladnhotextu"/>
        <w:numPr>
          <w:ilvl w:val="0"/>
          <w:numId w:val="19"/>
        </w:numPr>
        <w:spacing w:before="0" w:after="0"/>
        <w:contextualSpacing/>
      </w:pPr>
      <w:r w:rsidRPr="00344365">
        <w:t>obnova konania;</w:t>
      </w:r>
    </w:p>
    <w:p w:rsidR="005044F0" w:rsidRPr="00344365" w:rsidRDefault="005044F0" w:rsidP="00A37004">
      <w:pPr>
        <w:pStyle w:val="Zarkazkladnhotextu"/>
        <w:numPr>
          <w:ilvl w:val="0"/>
          <w:numId w:val="19"/>
        </w:numPr>
        <w:spacing w:before="0" w:after="0"/>
        <w:contextualSpacing/>
      </w:pPr>
      <w:r w:rsidRPr="00344365">
        <w:t>preskúmanie rozhodnutia mimo odvolacieho konania;</w:t>
      </w:r>
    </w:p>
    <w:p w:rsidR="005044F0" w:rsidRPr="00344365" w:rsidRDefault="005044F0" w:rsidP="00A37004">
      <w:pPr>
        <w:pStyle w:val="Zarkazkladnhotextu"/>
        <w:numPr>
          <w:ilvl w:val="0"/>
          <w:numId w:val="19"/>
        </w:numPr>
        <w:spacing w:before="0" w:after="0"/>
        <w:contextualSpacing/>
      </w:pPr>
      <w:r w:rsidRPr="00344365">
        <w:t>konanie o proteste prokurátora.</w:t>
      </w:r>
    </w:p>
    <w:p w:rsidR="005044F0" w:rsidRPr="00344365" w:rsidRDefault="005044F0" w:rsidP="009C56F9">
      <w:pPr>
        <w:pStyle w:val="Zarkazkladnhotextu"/>
        <w:ind w:left="0" w:firstLine="709"/>
        <w:contextualSpacing/>
      </w:pPr>
      <w:r w:rsidRPr="00344365">
        <w:t xml:space="preserve">Podľa </w:t>
      </w:r>
      <w:r w:rsidRPr="00344365">
        <w:rPr>
          <w:b/>
        </w:rPr>
        <w:t>Machajovej a kol. (2007)</w:t>
      </w:r>
      <w:r w:rsidRPr="00344365">
        <w:t xml:space="preserve"> spoločnými znakmi všetkých mimoriadnych opravných prostriedkov sú:</w:t>
      </w:r>
    </w:p>
    <w:p w:rsidR="005044F0" w:rsidRPr="00344365" w:rsidRDefault="005044F0" w:rsidP="00A37004">
      <w:pPr>
        <w:pStyle w:val="Zarkazkladnhotextu"/>
        <w:numPr>
          <w:ilvl w:val="0"/>
          <w:numId w:val="20"/>
        </w:numPr>
        <w:spacing w:before="0" w:after="0"/>
        <w:contextualSpacing/>
      </w:pPr>
      <w:r w:rsidRPr="00344365">
        <w:t>právoplatnosť rozhodnutia;</w:t>
      </w:r>
    </w:p>
    <w:p w:rsidR="005044F0" w:rsidRPr="00344365" w:rsidRDefault="005044F0" w:rsidP="00A37004">
      <w:pPr>
        <w:pStyle w:val="Zarkazkladnhotextu"/>
        <w:numPr>
          <w:ilvl w:val="0"/>
          <w:numId w:val="20"/>
        </w:numPr>
        <w:spacing w:before="0" w:after="0"/>
        <w:contextualSpacing/>
      </w:pPr>
      <w:r w:rsidRPr="00344365">
        <w:t>časová obmedzenosť uplatnenia;</w:t>
      </w:r>
    </w:p>
    <w:p w:rsidR="005044F0" w:rsidRPr="00344365" w:rsidRDefault="005044F0" w:rsidP="00A37004">
      <w:pPr>
        <w:pStyle w:val="Zarkazkladnhotextu"/>
        <w:numPr>
          <w:ilvl w:val="0"/>
          <w:numId w:val="20"/>
        </w:numPr>
        <w:spacing w:before="0" w:after="0"/>
        <w:contextualSpacing/>
      </w:pPr>
      <w:r w:rsidRPr="00344365">
        <w:t>nezákonnosť rozhodnutia.</w:t>
      </w:r>
    </w:p>
    <w:p w:rsidR="005044F0" w:rsidRDefault="005044F0" w:rsidP="00956A22">
      <w:pPr>
        <w:pStyle w:val="ZPNormalnyText"/>
        <w:rPr>
          <w:highlight w:val="lightGray"/>
        </w:rPr>
      </w:pPr>
      <w:r w:rsidRPr="00344365">
        <w:t>Preskúmavanie rozhodnutí súdom je síce evidované v správnom poriadku ako opravný prostriedok, no už nejde o sféru správneho práva, ale občianskeho práva (problematiku upravuje občiansky súdny poriadok). Ide o prostriedok externej kontroly zákonnosti rozhodnutí správnych orgánov.</w:t>
      </w:r>
    </w:p>
    <w:p w:rsidR="008A71B0" w:rsidRDefault="008A71B0" w:rsidP="00956A22">
      <w:pPr>
        <w:pStyle w:val="ZPNormalnyText"/>
        <w:rPr>
          <w:highlight w:val="lightGray"/>
        </w:rPr>
      </w:pPr>
    </w:p>
    <w:p w:rsidR="003E6221" w:rsidRPr="003E6221" w:rsidRDefault="003E6221" w:rsidP="00CF141A">
      <w:pPr>
        <w:pStyle w:val="ZPPodNadpisKapitolyTimesNewRoman"/>
      </w:pPr>
      <w:r w:rsidRPr="003E6221">
        <w:t>Správne právo a sloboda podnikania v podmienkach EÚ</w:t>
      </w:r>
    </w:p>
    <w:p w:rsidR="003E6221" w:rsidRDefault="003E6221" w:rsidP="00472F63">
      <w:pPr>
        <w:pStyle w:val="ZPPodNadpis3urovenTimesNewRoman"/>
      </w:pPr>
      <w:r w:rsidRPr="003E6221">
        <w:t xml:space="preserve">Európske správne právo </w:t>
      </w:r>
    </w:p>
    <w:p w:rsidR="003E6221" w:rsidRPr="00344365" w:rsidRDefault="003E6221" w:rsidP="003E6221">
      <w:pPr>
        <w:pStyle w:val="Zarkazkladnhotextu"/>
        <w:ind w:left="0" w:firstLine="709"/>
        <w:contextualSpacing/>
      </w:pPr>
      <w:r w:rsidRPr="00344365">
        <w:t xml:space="preserve">Európska únia nie je len hospodárskym a politickým, ale tiež právnym a správnym spoločenstvom, a v tomto zmysle sa vymedzuje aj priestor tvorby, implementácie a kontroly spoločných a koordinovaných správnych politík členských štátov Európskej únie. Európska únia však nedisponuje legislatívnou právomocou pre úpravu spoločných základov alebo obecného správneho rámca správneho konania či jednotlivých administratívnych procedúr, pokiaľ výkon tejto verejnoprávnej činnosti nie je zverený do výlučnej pôsobnosti orgánov EÚ. Európske správne právo je v prevažnej miere vykonávané členskými štátmi. Doktrína v tejto súvislosti hovorí o spoločnej exekutíve a administratíve bez impéria </w:t>
      </w:r>
      <w:r w:rsidRPr="00344365">
        <w:rPr>
          <w:b/>
        </w:rPr>
        <w:t>(Knill, 2001)</w:t>
      </w:r>
      <w:r w:rsidRPr="00344365">
        <w:t xml:space="preserve">. </w:t>
      </w:r>
    </w:p>
    <w:p w:rsidR="003E6221" w:rsidRPr="00344365" w:rsidRDefault="003E6221" w:rsidP="003E6221">
      <w:pPr>
        <w:pStyle w:val="Zarkazkladnhotextu"/>
        <w:ind w:left="0" w:firstLine="709"/>
        <w:contextualSpacing/>
      </w:pPr>
      <w:r w:rsidRPr="00344365">
        <w:rPr>
          <w:b/>
        </w:rPr>
        <w:lastRenderedPageBreak/>
        <w:t>Alter (2001)</w:t>
      </w:r>
      <w:r w:rsidRPr="00344365">
        <w:t xml:space="preserve"> konštatuje, že pojem európske správne právo zahrňuje:</w:t>
      </w:r>
    </w:p>
    <w:p w:rsidR="003E6221" w:rsidRPr="00344365" w:rsidRDefault="003E6221" w:rsidP="00A37004">
      <w:pPr>
        <w:pStyle w:val="Zarkazkladnhotextu"/>
        <w:numPr>
          <w:ilvl w:val="0"/>
          <w:numId w:val="23"/>
        </w:numPr>
        <w:spacing w:before="0" w:after="0"/>
        <w:contextualSpacing/>
      </w:pPr>
      <w:r w:rsidRPr="00344365">
        <w:t>správne právo Európskeho spoločenstva a Európskej únie ako súčasť systému práva ES/EÚ;</w:t>
      </w:r>
    </w:p>
    <w:p w:rsidR="003E6221" w:rsidRPr="00344365" w:rsidRDefault="003E6221" w:rsidP="00A37004">
      <w:pPr>
        <w:pStyle w:val="Zarkazkladnhotextu"/>
        <w:numPr>
          <w:ilvl w:val="0"/>
          <w:numId w:val="23"/>
        </w:numPr>
        <w:spacing w:before="0" w:after="0"/>
        <w:contextualSpacing/>
      </w:pPr>
      <w:r w:rsidRPr="00344365">
        <w:t>právo administratívnej spolupráce štátov a neštátnych organizácií v zjednocujúcej sa Európe;</w:t>
      </w:r>
    </w:p>
    <w:p w:rsidR="003E6221" w:rsidRPr="00344365" w:rsidRDefault="003E6221" w:rsidP="00A37004">
      <w:pPr>
        <w:pStyle w:val="Zarkazkladnhotextu"/>
        <w:numPr>
          <w:ilvl w:val="0"/>
          <w:numId w:val="23"/>
        </w:numPr>
        <w:spacing w:before="0" w:after="0"/>
        <w:contextualSpacing/>
      </w:pPr>
      <w:r w:rsidRPr="00344365">
        <w:t>spoločné správne právo demokratických európskych štátov.</w:t>
      </w:r>
    </w:p>
    <w:p w:rsidR="003E6221" w:rsidRPr="00344365" w:rsidRDefault="003E6221" w:rsidP="003E6221">
      <w:pPr>
        <w:pStyle w:val="Zarkazkladnhotextu"/>
        <w:ind w:left="0" w:firstLine="709"/>
        <w:contextualSpacing/>
      </w:pPr>
      <w:r w:rsidRPr="00344365">
        <w:rPr>
          <w:b/>
        </w:rPr>
        <w:t>Nižňanský (2005)</w:t>
      </w:r>
      <w:r w:rsidRPr="00344365">
        <w:t xml:space="preserve"> tvrdí, že k významným nástrojom riadenia spoločenských procesov patrí právna regulácia vo sfére tvorby práva, jeho uplatňovania, vynucovania a vytvárania atmosféry zákonnosti. Reforma práva patrí k nevyhnutným predpokladom „vecnej správnosti“ spravovaných procesov a je nesporné, že kompatibilita súboru právnych predpisov s právom EÚ je významným predpokladom dynamiky integračných procesov.</w:t>
      </w:r>
    </w:p>
    <w:p w:rsidR="003E6221" w:rsidRPr="00344365" w:rsidRDefault="003E6221" w:rsidP="003E6221">
      <w:pPr>
        <w:pStyle w:val="Zarkazkladnhotextu"/>
        <w:ind w:left="0" w:firstLine="709"/>
        <w:contextualSpacing/>
      </w:pPr>
      <w:r w:rsidRPr="00344365">
        <w:rPr>
          <w:b/>
        </w:rPr>
        <w:t>Pomahač - Vidláková (2002)</w:t>
      </w:r>
      <w:r w:rsidRPr="00344365">
        <w:t xml:space="preserve"> uvádzajú, že správne reformy v Európe sa od svojho začiatku zamerali najmä na dva problémy:</w:t>
      </w:r>
    </w:p>
    <w:p w:rsidR="003E6221" w:rsidRPr="00344365" w:rsidRDefault="003E6221" w:rsidP="00A37004">
      <w:pPr>
        <w:pStyle w:val="Zarkazkladnhotextu"/>
        <w:numPr>
          <w:ilvl w:val="0"/>
          <w:numId w:val="22"/>
        </w:numPr>
        <w:spacing w:before="0" w:after="0"/>
        <w:contextualSpacing/>
      </w:pPr>
      <w:r w:rsidRPr="00344365">
        <w:t>na debyrokraciu, ktorá bola všeobecnou témou;</w:t>
      </w:r>
    </w:p>
    <w:p w:rsidR="003E6221" w:rsidRPr="00344365" w:rsidRDefault="003E6221" w:rsidP="00A37004">
      <w:pPr>
        <w:pStyle w:val="Zarkazkladnhotextu"/>
        <w:numPr>
          <w:ilvl w:val="0"/>
          <w:numId w:val="22"/>
        </w:numPr>
        <w:spacing w:before="0" w:after="0"/>
        <w:contextualSpacing/>
      </w:pPr>
      <w:r w:rsidRPr="00344365">
        <w:t>na dereguláciu v tých krajinách, v ktorých panoval striktný právny rád, ktorý sa od skončenia vojny rýchlo nafukoval a dostával sa do rozporu zo zásadami slobodného trhu a voľnej súťaže obchodnej a podnikateľskej sféry.</w:t>
      </w:r>
    </w:p>
    <w:p w:rsidR="003E6221" w:rsidRPr="00344365" w:rsidRDefault="003E6221" w:rsidP="00EF0997">
      <w:pPr>
        <w:pStyle w:val="Zarkazkladnhotextu"/>
        <w:ind w:left="0"/>
        <w:contextualSpacing/>
      </w:pPr>
      <w:r w:rsidRPr="00344365">
        <w:t xml:space="preserve">Problematika správnych reforiem je komplexná a komplikovaná, doposiaľ neukončená, stále živá a vyvíjajúca sa, čerpajúca motiváciu ku svojim iniciatívam z veľmi odlišných zdrojov a sledujúca vo svojom procese rôznorodé ciele a záujmy. Štúdium problematiky je sťažené aj tým, že nejde len o odborný, technický jav, ale o problém, ktorý vo svojom vývoji bol a je ovplyvňovaný rôznymi politickými záujmami a ideológiami, nakoľko verejná správa je res politicum a tento charakter majú aj jej reformy. </w:t>
      </w:r>
    </w:p>
    <w:p w:rsidR="003E6221" w:rsidRPr="00344365" w:rsidRDefault="003E6221" w:rsidP="00EF0997">
      <w:pPr>
        <w:pStyle w:val="Zarkazkladnhotextu"/>
        <w:ind w:left="0" w:firstLine="709"/>
        <w:contextualSpacing/>
      </w:pPr>
      <w:r w:rsidRPr="00344365">
        <w:rPr>
          <w:b/>
        </w:rPr>
        <w:t>Nižňanský (2005)</w:t>
      </w:r>
      <w:r w:rsidRPr="00344365">
        <w:t xml:space="preserve"> poukazuje na to, že z porovnania vybraných európskych               štátov vyplynulo, že:</w:t>
      </w:r>
    </w:p>
    <w:p w:rsidR="003E6221" w:rsidRPr="00344365" w:rsidRDefault="003E6221" w:rsidP="00A37004">
      <w:pPr>
        <w:pStyle w:val="Zarkazkladnhotextu"/>
        <w:numPr>
          <w:ilvl w:val="0"/>
          <w:numId w:val="21"/>
        </w:numPr>
        <w:spacing w:before="0" w:after="0"/>
        <w:contextualSpacing/>
      </w:pPr>
      <w:r w:rsidRPr="00344365">
        <w:t>neexistuje spoločný európsky model organizácie verejnej správy, ale napriek tomu existujú spoločné trendy, snahy, v znižovaní vplyvu štátnej správy, v oblasti finančných reštrikcií, v posilňovaní rozhodovacích právomocí samosprávy a vo zvyšovaní jej zodpovednosti voči občanovi;</w:t>
      </w:r>
    </w:p>
    <w:p w:rsidR="003E6221" w:rsidRPr="00344365" w:rsidRDefault="003E6221" w:rsidP="00A37004">
      <w:pPr>
        <w:pStyle w:val="Zarkazkladnhotextu"/>
        <w:numPr>
          <w:ilvl w:val="0"/>
          <w:numId w:val="21"/>
        </w:numPr>
        <w:spacing w:before="0" w:after="0"/>
        <w:contextualSpacing/>
      </w:pPr>
      <w:r w:rsidRPr="00344365">
        <w:t>miera decentralizácie štátov je rôzna, väčšia v severných štátoch Európy;</w:t>
      </w:r>
    </w:p>
    <w:p w:rsidR="003E6221" w:rsidRPr="00344365" w:rsidRDefault="003E6221" w:rsidP="00A37004">
      <w:pPr>
        <w:pStyle w:val="Zarkazkladnhotextu"/>
        <w:numPr>
          <w:ilvl w:val="0"/>
          <w:numId w:val="21"/>
        </w:numPr>
        <w:spacing w:before="0" w:after="0"/>
        <w:contextualSpacing/>
      </w:pPr>
      <w:r w:rsidRPr="00344365">
        <w:t>väčšina štátov je unitárnych, pričom niektoré prešli procesom regionalizácie;</w:t>
      </w:r>
    </w:p>
    <w:p w:rsidR="003E6221" w:rsidRPr="00344365" w:rsidRDefault="003E6221" w:rsidP="00A37004">
      <w:pPr>
        <w:pStyle w:val="Zarkazkladnhotextu"/>
        <w:numPr>
          <w:ilvl w:val="0"/>
          <w:numId w:val="21"/>
        </w:numPr>
        <w:spacing w:before="0" w:after="0"/>
        <w:contextualSpacing/>
      </w:pPr>
      <w:r w:rsidRPr="00344365">
        <w:t>kompetencie sú často delené medzi viaceré úrovne verejnej správy;</w:t>
      </w:r>
    </w:p>
    <w:p w:rsidR="003E6221" w:rsidRDefault="003E6221" w:rsidP="00A37004">
      <w:pPr>
        <w:pStyle w:val="Zarkazkladnhotextu"/>
        <w:numPr>
          <w:ilvl w:val="0"/>
          <w:numId w:val="21"/>
        </w:numPr>
        <w:spacing w:before="0" w:after="0"/>
        <w:contextualSpacing/>
      </w:pPr>
      <w:r w:rsidRPr="00344365">
        <w:lastRenderedPageBreak/>
        <w:t>objem finančných prostriedkov a možnosť nakladania s nimi sú oveľa vyššie v severských štátoch, čo súvisí s mierou decentralizácie;</w:t>
      </w:r>
    </w:p>
    <w:p w:rsidR="003E6221" w:rsidRDefault="003E6221" w:rsidP="00A37004">
      <w:pPr>
        <w:pStyle w:val="Zarkazkladnhotextu"/>
        <w:numPr>
          <w:ilvl w:val="0"/>
          <w:numId w:val="21"/>
        </w:numPr>
        <w:spacing w:before="0" w:after="0"/>
        <w:contextualSpacing/>
      </w:pPr>
      <w:r w:rsidRPr="00EF0997">
        <w:t>všetky štáty majú zavedené systémy kontroly dodržiavania zákonnosti a finančnej kontroly.</w:t>
      </w:r>
    </w:p>
    <w:p w:rsidR="00EF0997" w:rsidRDefault="00EF0997" w:rsidP="00EF0997">
      <w:pPr>
        <w:pStyle w:val="Zarkazkladnhotextu"/>
        <w:spacing w:before="0" w:after="0"/>
        <w:contextualSpacing/>
      </w:pPr>
    </w:p>
    <w:p w:rsidR="003E6221" w:rsidRPr="00EF0997" w:rsidRDefault="00EF0997" w:rsidP="00472F63">
      <w:pPr>
        <w:pStyle w:val="ZPPodNadpis3urovenTimesNewRoman"/>
      </w:pPr>
      <w:r w:rsidRPr="00EF0997">
        <w:t>Sloboda podnikania v členských krajinách EÚ</w:t>
      </w:r>
    </w:p>
    <w:p w:rsidR="00EF0997" w:rsidRPr="00344365" w:rsidRDefault="00EF0997" w:rsidP="00EF0997">
      <w:pPr>
        <w:pStyle w:val="Zarkazkladnhotextu"/>
        <w:ind w:left="0" w:firstLine="709"/>
      </w:pPr>
      <w:r w:rsidRPr="00344365">
        <w:t>Základným cieľom vytvorenia Európskeho hospodárskeho spoločenstva bolo podľa</w:t>
      </w:r>
      <w:r w:rsidRPr="00344365">
        <w:rPr>
          <w:b/>
        </w:rPr>
        <w:t xml:space="preserve"> Horvátha (2004)</w:t>
      </w:r>
      <w:r w:rsidRPr="00344365">
        <w:t xml:space="preserve"> vytvoriť spoločný trh jeho členských štátov. Na to, aby sa zaručili „štyri základné slobody“ (voľný pohyb tovaru, služieb, osôb a kapitálu), bolo nevyhnutné vytvoriť komplexný právny rámec pre členské štáty, ktoré mali pôvodne odlišné regulačné systémy a tradície. Z tohto dôvodu bol prijatý program jednotného trhu, vytýčený v Jednotnom európskom akte (JEA) podpísanom 18.februára 1986, zameraný na zabezpečenie štvorice základných slobôd odstránením viacerých ešte existujúcich prekážok: fyzických (hraničné formality a kontroly na hraniciach), finančných (rozpočtové a daňové pravidlá) a technické (rozdiely v legislatíve, normách a ďalších pravidlách členských štátov). </w:t>
      </w:r>
    </w:p>
    <w:p w:rsidR="00EF0997" w:rsidRPr="00344365" w:rsidRDefault="00EF0997" w:rsidP="00EF0997">
      <w:pPr>
        <w:pStyle w:val="Zarkazkladnhotextu"/>
        <w:ind w:left="0" w:firstLine="709"/>
      </w:pPr>
      <w:r w:rsidRPr="00344365">
        <w:rPr>
          <w:b/>
        </w:rPr>
        <w:t>Janků - Svobodová (1999)</w:t>
      </w:r>
      <w:r w:rsidRPr="00344365">
        <w:t xml:space="preserve"> konštatujú, že sloboda podnikania znamená voľný pohyb vo vnútri Spoločenstva pre samostatne zárobkovo činné osoby, ktoré sú štátnymi príslušníkmi niektorého z členských štátov. Toto platí aj pre podniky alebo dcérske spoločnosti so sídlom v jednom z členských štátov. Sloboda podnikania zahrňuje právo začať a prevádzkovať samostatne zárobkovú činnosť, ako aj zriaďovať a riadiť podniky, predovšetkým spoločnosti občianskeho a obchodného práva. Táto činnosť musí byť trvalého charakteru, inak by sa jednalo o slobodu poskytovania služieb. Právo podnikať sa zásadne priznáva podľa právneho poriadku štátu, kde k podnikaniu dochádza. Rozhodujúce je odstrániť diskrimináciu. Žiadny členský štát nesmie osobám, ktoré na jeho území uplatňujú právo slobodného podnikania, ukladať právne predpisy iné než tie, ktoré uložil vlastným štátnym príslušníkom. </w:t>
      </w:r>
    </w:p>
    <w:p w:rsidR="00EF0997" w:rsidRPr="00344365" w:rsidRDefault="00EF0997" w:rsidP="00EF0997">
      <w:pPr>
        <w:autoSpaceDE w:val="0"/>
        <w:autoSpaceDN w:val="0"/>
        <w:adjustRightInd w:val="0"/>
        <w:ind w:firstLine="708"/>
      </w:pPr>
      <w:r w:rsidRPr="00344365">
        <w:rPr>
          <w:b/>
        </w:rPr>
        <w:t>Láziková (2008)</w:t>
      </w:r>
      <w:r w:rsidRPr="00344365">
        <w:t xml:space="preserve"> tvrdí, že sloboda podnikania v sebe zahŕňa dve oprávnenia. </w:t>
      </w:r>
      <w:r w:rsidRPr="00344365">
        <w:rPr>
          <w:bCs/>
        </w:rPr>
        <w:t xml:space="preserve">Primárnym oprávnením </w:t>
      </w:r>
      <w:r w:rsidRPr="00344365">
        <w:t xml:space="preserve">je sloboda podnikať v ktoromkoľvek členskom štáte, a to buď </w:t>
      </w:r>
      <w:r w:rsidRPr="00344365">
        <w:rPr>
          <w:bCs/>
        </w:rPr>
        <w:t xml:space="preserve">vo forme aktívnej slobody podnikania, </w:t>
      </w:r>
      <w:r w:rsidRPr="00344365">
        <w:t xml:space="preserve">ktorú komunitárne právo označuje aj ako </w:t>
      </w:r>
      <w:r w:rsidRPr="00344365">
        <w:rPr>
          <w:bCs/>
        </w:rPr>
        <w:t xml:space="preserve">primárne usadzovanie sa </w:t>
      </w:r>
      <w:r w:rsidRPr="00344365">
        <w:t>(t.j. založenie obchodnej spoločnosti alebo začatie podnikateľskej činnosti alebo nadobudnutie</w:t>
      </w:r>
      <w:r>
        <w:t xml:space="preserve"> </w:t>
      </w:r>
      <w:r w:rsidRPr="00344365">
        <w:t xml:space="preserve">kapitálovej účasti na podnikaní v takej miere, ktorá umožňuje kontrolu nad spoločnosťou) alebo </w:t>
      </w:r>
      <w:r w:rsidRPr="00344365">
        <w:rPr>
          <w:bCs/>
        </w:rPr>
        <w:t xml:space="preserve">vo forme pasívnej slobody </w:t>
      </w:r>
      <w:r w:rsidRPr="00344365">
        <w:rPr>
          <w:bCs/>
        </w:rPr>
        <w:lastRenderedPageBreak/>
        <w:t>podnikania</w:t>
      </w:r>
      <w:r w:rsidRPr="00344365">
        <w:t xml:space="preserve">, ktorú komunitárne právo označuje aj ako </w:t>
      </w:r>
      <w:r w:rsidRPr="00344365">
        <w:rPr>
          <w:bCs/>
        </w:rPr>
        <w:t xml:space="preserve">sekundárne usadzovanie sa </w:t>
      </w:r>
      <w:r w:rsidRPr="00344365">
        <w:t xml:space="preserve">(t.j. založenie dcérskej spoločnosti, pobočky alebo organizačnej zložky, zakladanie prevádzok, skladov a iných nesamostatných súčastí podniku). </w:t>
      </w:r>
      <w:r w:rsidRPr="00344365">
        <w:rPr>
          <w:bCs/>
        </w:rPr>
        <w:t xml:space="preserve">Sekundárnym oprávnením </w:t>
      </w:r>
      <w:r w:rsidRPr="00344365">
        <w:t>je právo vstupu, voľného pohybu, pobytu a právo zostať na území iného členského štátu. ES vyvinulo značné úsilie o harmonizáciu právnych predpisov, ktoré kládli v jednotlivých členských štátoch rôzne požiadavky na výkon určitých profesií alebo živností. ZES splnomocňuje orgány ES:</w:t>
      </w:r>
    </w:p>
    <w:p w:rsidR="00EF0997" w:rsidRPr="00344365" w:rsidRDefault="00EF0997" w:rsidP="00A37004">
      <w:pPr>
        <w:numPr>
          <w:ilvl w:val="0"/>
          <w:numId w:val="24"/>
        </w:numPr>
        <w:autoSpaceDE w:val="0"/>
        <w:autoSpaceDN w:val="0"/>
        <w:adjustRightInd w:val="0"/>
        <w:spacing w:before="0"/>
      </w:pPr>
      <w:r w:rsidRPr="00344365">
        <w:t>vydávať smernice o vzájomnom uznávaní diplomov, osvedčení o skúškach a iných dokladov o kvalifikácii;</w:t>
      </w:r>
    </w:p>
    <w:p w:rsidR="00EF0997" w:rsidRPr="00344365" w:rsidRDefault="00EF0997" w:rsidP="00A37004">
      <w:pPr>
        <w:numPr>
          <w:ilvl w:val="0"/>
          <w:numId w:val="24"/>
        </w:numPr>
        <w:autoSpaceDE w:val="0"/>
        <w:autoSpaceDN w:val="0"/>
        <w:adjustRightInd w:val="0"/>
        <w:spacing w:before="0"/>
      </w:pPr>
      <w:r w:rsidRPr="00344365">
        <w:t>koordinovať právne predpisy členských štátov, ktoré sa týkajú výkonu profesijnej činnosti;</w:t>
      </w:r>
    </w:p>
    <w:p w:rsidR="00EF0997" w:rsidRPr="00344365" w:rsidRDefault="00EF0997" w:rsidP="00A37004">
      <w:pPr>
        <w:numPr>
          <w:ilvl w:val="0"/>
          <w:numId w:val="24"/>
        </w:numPr>
        <w:autoSpaceDE w:val="0"/>
        <w:autoSpaceDN w:val="0"/>
        <w:adjustRightInd w:val="0"/>
        <w:spacing w:before="0"/>
      </w:pPr>
      <w:r w:rsidRPr="00344365">
        <w:t>harmonizovať právo obchodných spoločností.</w:t>
      </w:r>
    </w:p>
    <w:p w:rsidR="00EF0997" w:rsidRPr="00344365" w:rsidRDefault="00EF0997" w:rsidP="00EF0997">
      <w:pPr>
        <w:pStyle w:val="Zarkazkladnhotextu"/>
        <w:ind w:left="0" w:firstLine="709"/>
      </w:pPr>
      <w:r w:rsidRPr="00344365">
        <w:t>Najväčší stupeň liberalizácie sa dosiahol v oblasti remesiel, obchodu, priemyslu a poľnohospodárstva. Naopak záujem na ochrane domáceho trhu spomalil liberalizáciu slobodných povolaní (právnické povolania, lekári, stomatológovia, lekárnici, architekti a pod.), bankovníctva, poisťovníctva a finančných služieb.</w:t>
      </w:r>
    </w:p>
    <w:p w:rsidR="00EF0997" w:rsidRPr="00344365" w:rsidRDefault="00EF0997" w:rsidP="00EF0997">
      <w:pPr>
        <w:ind w:firstLine="708"/>
        <w:contextualSpacing/>
      </w:pPr>
      <w:r w:rsidRPr="00344365">
        <w:rPr>
          <w:b/>
        </w:rPr>
        <w:t>Schwarcz (2009)</w:t>
      </w:r>
      <w:r w:rsidRPr="00344365">
        <w:t xml:space="preserve"> dodáva, že podľa EÚ je </w:t>
      </w:r>
      <w:r w:rsidRPr="00344365">
        <w:rPr>
          <w:bCs/>
        </w:rPr>
        <w:t>podnikanie (podnikavosť)</w:t>
      </w:r>
      <w:r w:rsidRPr="00344365">
        <w:t xml:space="preserve"> spôsob myslenia a proces potrebný na vytváranie a rozvoj ekonomických aktivít spájaním ochoty niesť riziko, kreativity a/alebo inovatívnosti s rozumným manažmentom, v rámci novej alebo už existujúcej organizácie. </w:t>
      </w:r>
      <w:r w:rsidRPr="00344365">
        <w:rPr>
          <w:bCs/>
        </w:rPr>
        <w:t xml:space="preserve">Cieľom politiky v oblasti podnikania je predovšetkým: </w:t>
      </w:r>
      <w:r w:rsidRPr="00344365">
        <w:t xml:space="preserve"> </w:t>
      </w:r>
    </w:p>
    <w:p w:rsidR="00EF0997" w:rsidRPr="00344365" w:rsidRDefault="00EF0997" w:rsidP="00A37004">
      <w:pPr>
        <w:numPr>
          <w:ilvl w:val="0"/>
          <w:numId w:val="25"/>
        </w:numPr>
        <w:spacing w:before="0"/>
        <w:contextualSpacing/>
      </w:pPr>
      <w:r w:rsidRPr="00344365">
        <w:t>aby všetky podniky súťažili a obchodovali za rovnakých a spravodlivých podmienok;</w:t>
      </w:r>
    </w:p>
    <w:p w:rsidR="00EF0997" w:rsidRPr="00344365" w:rsidRDefault="00EF0997" w:rsidP="00A37004">
      <w:pPr>
        <w:numPr>
          <w:ilvl w:val="0"/>
          <w:numId w:val="25"/>
        </w:numPr>
        <w:spacing w:before="0"/>
        <w:contextualSpacing/>
      </w:pPr>
      <w:r w:rsidRPr="00344365">
        <w:t>aby bola Európa atraktívnym miestom pre investície a prácu;</w:t>
      </w:r>
    </w:p>
    <w:p w:rsidR="00EF0997" w:rsidRPr="00344365" w:rsidRDefault="00EF0997" w:rsidP="00A37004">
      <w:pPr>
        <w:numPr>
          <w:ilvl w:val="0"/>
          <w:numId w:val="25"/>
        </w:numPr>
        <w:spacing w:before="0"/>
        <w:contextualSpacing/>
      </w:pPr>
      <w:r w:rsidRPr="00344365">
        <w:t>aby sa rast prejavil v znalostných a inovačných priemyselných odvetviach;</w:t>
      </w:r>
    </w:p>
    <w:p w:rsidR="00EF0997" w:rsidRPr="00344365" w:rsidRDefault="00EF0997" w:rsidP="00A37004">
      <w:pPr>
        <w:numPr>
          <w:ilvl w:val="0"/>
          <w:numId w:val="25"/>
        </w:numPr>
        <w:spacing w:before="0"/>
        <w:contextualSpacing/>
      </w:pPr>
      <w:r w:rsidRPr="00344365">
        <w:t>potreba správnej priemyselnej štruktúry v rámci EÚ, a to bez intervencií - politika má zohľadňovať osobitné potreby a charakteristiky jednotlivých odvetví (napr. potravinársky priemysel);</w:t>
      </w:r>
    </w:p>
    <w:p w:rsidR="00EF0997" w:rsidRDefault="00EF0997" w:rsidP="00A37004">
      <w:pPr>
        <w:numPr>
          <w:ilvl w:val="0"/>
          <w:numId w:val="25"/>
        </w:numPr>
        <w:spacing w:before="0"/>
        <w:contextualSpacing/>
      </w:pPr>
      <w:r w:rsidRPr="00344365">
        <w:t>aby strategicky dôležité priemyselné odvetvia (letecký, strojársky), prírodné vedy a biotechnológie mohli prosperovať.</w:t>
      </w:r>
    </w:p>
    <w:p w:rsidR="003E6221" w:rsidRDefault="00EF0997" w:rsidP="00956A22">
      <w:pPr>
        <w:pStyle w:val="ZPNormalnyText"/>
      </w:pPr>
      <w:r w:rsidRPr="00344365">
        <w:t>Pre programovacie obdobie 2007-2013 bol v súlade s cieľmi obnovenej Lisabonskej stratégie vytvorený Rámcový program pre konkurencieschopnosť a inováciu (CIP).</w:t>
      </w:r>
    </w:p>
    <w:p w:rsidR="002733A0" w:rsidRPr="00B0786E" w:rsidRDefault="00B0786E" w:rsidP="00CF141A">
      <w:pPr>
        <w:pStyle w:val="ZPPodNadpisKapitolyTimesNewRoman"/>
      </w:pPr>
      <w:r w:rsidRPr="00B0786E">
        <w:lastRenderedPageBreak/>
        <w:t>Živnostenské podnikanie v podmienkach Slovenskej republiky</w:t>
      </w:r>
    </w:p>
    <w:p w:rsidR="00B0786E" w:rsidRPr="00B0786E" w:rsidRDefault="00B0786E" w:rsidP="00472F63">
      <w:pPr>
        <w:pStyle w:val="ZPPodNadpis3urovenTimesNewRoman"/>
      </w:pPr>
      <w:r w:rsidRPr="00B0786E">
        <w:t xml:space="preserve">Definícia a právna úprava živnostenského podnikania </w:t>
      </w:r>
    </w:p>
    <w:p w:rsidR="00B0786E" w:rsidRPr="00344365" w:rsidRDefault="00B0786E" w:rsidP="00B0786E">
      <w:pPr>
        <w:pStyle w:val="Zarkazkladnhotextu"/>
        <w:ind w:left="0" w:firstLine="709"/>
      </w:pPr>
      <w:r w:rsidRPr="00344365">
        <w:t xml:space="preserve">Podnikanie je základným prvkom efektívneho fungovania trhovej ekonomiky, je tým, čo ekonomiku robí trhovou. Podnikanie je hnacím motorom zmien, meradlom rozvoja ekonomiky, nástrojom prispôsobovania sa a schopnosti udržať krok s hlavnými svetovými trendmi </w:t>
      </w:r>
      <w:r w:rsidRPr="00344365">
        <w:rPr>
          <w:b/>
        </w:rPr>
        <w:t>(Sokolík - Jakubec, 2007)</w:t>
      </w:r>
      <w:r w:rsidRPr="00344365">
        <w:t>.</w:t>
      </w:r>
    </w:p>
    <w:p w:rsidR="00B0786E" w:rsidRPr="00344365" w:rsidRDefault="00B0786E" w:rsidP="00B0786E">
      <w:pPr>
        <w:pStyle w:val="Zarkazkladnhotextu"/>
        <w:ind w:left="0" w:firstLine="709"/>
      </w:pPr>
      <w:r w:rsidRPr="00344365">
        <w:t xml:space="preserve">Podľa </w:t>
      </w:r>
      <w:r w:rsidRPr="00344365">
        <w:rPr>
          <w:b/>
        </w:rPr>
        <w:t>Gozoru (2005)</w:t>
      </w:r>
      <w:r w:rsidRPr="00344365">
        <w:t xml:space="preserve"> je podnikanie súčasťou prebiehajúcich spoločenských procesov, ktoré sa uskutočňujú prostredníctvom cieľavedomej ľudskej činnosti. Je funkciou hospodárskej činnosti výrobno-organizačných jednotiek, ktoré produkujú úžitkové hodnoty pre potreby spoločnosti. Jeho rozsah, aktívnosť a ekonomický výsledok určujú vonkajšie a vnútorné činitele hospodárskych procesov. </w:t>
      </w:r>
    </w:p>
    <w:p w:rsidR="00B0786E" w:rsidRPr="00344365" w:rsidRDefault="00B0786E" w:rsidP="00B0786E">
      <w:pPr>
        <w:pStyle w:val="Zarkazkladnhotextu"/>
        <w:ind w:left="0" w:firstLine="709"/>
        <w:rPr>
          <w:u w:val="single"/>
        </w:rPr>
      </w:pPr>
      <w:r w:rsidRPr="00344365">
        <w:rPr>
          <w:b/>
        </w:rPr>
        <w:t>Malejčík (2008)</w:t>
      </w:r>
      <w:r w:rsidRPr="00344365">
        <w:t xml:space="preserve"> konštatuje, že nevyhnutnou podmienkou dynamického rozvoja hospodárstva je existencia a rozvoj podnikania. Podnikanie v trhovej ekonomike je tvorivá ľudská činnosť spojená s hľadaním, vytváraním a využívaním ekonomických príležitostí, ktoré poskytuje trh. Nevyhnutnou súčasťou a predpokladom podnikania sú i právne predpoklady, ktoré vytvára legislatíva.  </w:t>
      </w:r>
    </w:p>
    <w:p w:rsidR="00B0786E" w:rsidRPr="00344365" w:rsidRDefault="00B0786E" w:rsidP="00B0786E">
      <w:pPr>
        <w:pStyle w:val="Zarkazkladnhotextu"/>
        <w:ind w:left="0" w:firstLine="709"/>
      </w:pPr>
      <w:r w:rsidRPr="00344365">
        <w:rPr>
          <w:b/>
        </w:rPr>
        <w:t>Ilková - Bandlerová (2006)</w:t>
      </w:r>
      <w:r w:rsidRPr="00344365">
        <w:t xml:space="preserve"> uvádzajú, že obchodné právo ako osobitná časť súkromného práva, je súhrn právnych noriem upravujúcich právne postavenie podnikateľov a vzťahov, do ktorých podnikatelia navzájom vstupujú pri uskutočňovaní podnikateľských činností. Predmetom obchodno-právnej úpravy sú obchodné vzťahy, t.j. objektívne spoločenské vzťahy, ktorých obsahom je obchodná činnosť. </w:t>
      </w:r>
    </w:p>
    <w:p w:rsidR="00742692" w:rsidRDefault="00B0786E" w:rsidP="00B0786E">
      <w:pPr>
        <w:pStyle w:val="Zarkazkladnhotextu"/>
        <w:ind w:left="0" w:firstLine="709"/>
      </w:pPr>
      <w:r w:rsidRPr="00344365">
        <w:rPr>
          <w:b/>
        </w:rPr>
        <w:t xml:space="preserve">Mirossayová (2000) </w:t>
      </w:r>
      <w:r w:rsidRPr="00344365">
        <w:t xml:space="preserve">tvrdí, že základnou právnou normou upravujúcu túto problematiku je zákon č. 513/1991 Zb., verejnosti všeobecne známy ako Obchodný zákonník. Nie všetky otázky súvisiace s podnikaním však možno riešiť prostredníctvom tohto právneho predpisu. Vtedy prichádza na rad Občiansky zákonník, ktorý vo vzťahu k Obchodnému zákonníku ako špeciálnemu predpisu vystupuje ako základná všeobecná právna norma. Predmetom úpravy Obchodného zákonníka je postavenie podnikateľov, obchodné záväzkové vzťahy, ako aj niektoré iné vzťahy súvisiace s podnikaním. Napriek tomu, že upravuje právne postavenie podnikateľov, neupravuje podmienky, za ktorých sa fyzické alebo právnické osoby môžu stať podnikateľmi. Podmienky podnikania sú upravené najmä v zákone č. 455/1991 Zb. o živnostenskom podnikaní. </w:t>
      </w:r>
    </w:p>
    <w:p w:rsidR="00B0786E" w:rsidRPr="00344365" w:rsidRDefault="00B0786E" w:rsidP="00742692">
      <w:pPr>
        <w:pStyle w:val="Zarkazkladnhotextu"/>
        <w:ind w:left="0"/>
      </w:pPr>
      <w:r w:rsidRPr="00344365">
        <w:lastRenderedPageBreak/>
        <w:t>V tejto súvislosti nemožno opomenúť Ústavu SR a pre oblasť živnostenského podnikania jej článok 35, v ktorom je zakotvené právo podnikať. Ústavným základom pre podnikanie je článok 26 ods. 1 Listiny základných práv a slobôd. Z tohto článku vyplýva, že obmedzovať podnikateľskú činnosť je možné len zákonom alebo na základe zákona.</w:t>
      </w:r>
    </w:p>
    <w:p w:rsidR="00B0786E" w:rsidRPr="00344365" w:rsidRDefault="00B0786E" w:rsidP="00B0786E">
      <w:pPr>
        <w:pStyle w:val="Zarkazkladnhotextu"/>
        <w:ind w:left="0" w:firstLine="709"/>
      </w:pPr>
      <w:r w:rsidRPr="00344365">
        <w:rPr>
          <w:b/>
        </w:rPr>
        <w:t>Vrabko (2007)</w:t>
      </w:r>
      <w:r w:rsidRPr="00344365">
        <w:t xml:space="preserve"> potvrdzuje, že živnostenský zákon nadväzuje na ustanovenie článku 35 Ústavy Slovenskej republiky, ktoré garantuje právo podnikať a uskutočňovať inú zárobkovú činnosť ako ústavné právo každej osobe. Ústava však pripúšťa možnosť zákonom ustanoviť podmienky a obmedziť výkon určitých povolaní alebo činností a tiež pripúšťa možnosť inej úpravy pre cudzincov.</w:t>
      </w:r>
    </w:p>
    <w:p w:rsidR="00B0786E" w:rsidRPr="00344365" w:rsidRDefault="00B0786E" w:rsidP="00B0786E">
      <w:pPr>
        <w:pStyle w:val="Zarkazkladnhotextu"/>
        <w:ind w:left="0" w:firstLine="709"/>
      </w:pPr>
      <w:r w:rsidRPr="00344365">
        <w:t xml:space="preserve">Podnikanie ako také je vymedzené v rámci ustanovenia § 2 Obchodného zákonníka ako sústavná činnosť vykonávaná samostatne podnikateľom vo vlastnom mene a na vlastnú zodpovednosť za účelom dosiahnutia zisku. Aby bola určitá činnosť bola podnikaním v zmysle zákona, musí teda napĺňať tieto znaky: sústavnosť, samostatnosť, musí byť vykonávaná v mene podnikateľa, na jeho zodpovednosť a účet musí sledovať účel dosiahnutia zisku. Všetky tieto znaky musia byť naplnené súčasne </w:t>
      </w:r>
      <w:r w:rsidRPr="00344365">
        <w:rPr>
          <w:b/>
        </w:rPr>
        <w:t>(Mintál, 2008)</w:t>
      </w:r>
      <w:r w:rsidRPr="00344365">
        <w:t xml:space="preserve">. </w:t>
      </w:r>
    </w:p>
    <w:p w:rsidR="00B0786E" w:rsidRPr="00344365" w:rsidRDefault="00B0786E" w:rsidP="00B0786E">
      <w:pPr>
        <w:pStyle w:val="Zarkazkladnhotextu"/>
        <w:ind w:left="0" w:firstLine="709"/>
      </w:pPr>
      <w:r w:rsidRPr="00344365">
        <w:rPr>
          <w:b/>
        </w:rPr>
        <w:t>Horvátová (2001)</w:t>
      </w:r>
      <w:r w:rsidRPr="00344365">
        <w:t xml:space="preserve"> vo svojom komentáre k § 2 živnostenského zákona uvádza, že definícia pojmu živnosť vychádza z definície pojmu podnikanie v § 2 ods. 1 Obchodného zákonníka. Živnostenský zákon túto definíciu rozširuje tak, že ustanovuje, že ide o podnikanie vykonávané v súlade s podmienkami upravenými v živnostenskom zákone. To znamená, že každá živnosť je podnikaním, ale nie každé podnikanie je živnosťou. Podľa živnostenského zákona je živnosť podnikaním akéhokoľvek rozsahu (t.j. živnosťou sú aj tzv. živnosti vykonávané továrenským spôsobom), t.j. bez ohľadu na spôsob jeho výkonu, organizáciu práce a počet pracovníkov, ktoré sa vzťahuje tak na fyzické osoby, ako aj právnické osoby, ak takéto podnikanie spĺňa podmienky ustanovené živnostenským zákonom. V § 2 ide o pozitívne vymedzenie pojmu živnosť, ale v ustanoveniach § 3 a § 4 zákona je tento pojem definovaný aj negatívne, t.j. sú tam vymenované činnosti, ktoré nie sú živnosťami. </w:t>
      </w:r>
    </w:p>
    <w:p w:rsidR="00742692" w:rsidRDefault="00742692" w:rsidP="00B0786E">
      <w:pPr>
        <w:pStyle w:val="Zarkazkladnhotextu"/>
        <w:ind w:left="0" w:firstLine="709"/>
        <w:rPr>
          <w:b/>
        </w:rPr>
      </w:pPr>
    </w:p>
    <w:p w:rsidR="00742692" w:rsidRDefault="00742692" w:rsidP="00B0786E">
      <w:pPr>
        <w:pStyle w:val="Zarkazkladnhotextu"/>
        <w:ind w:left="0" w:firstLine="709"/>
        <w:rPr>
          <w:b/>
        </w:rPr>
      </w:pPr>
    </w:p>
    <w:p w:rsidR="00B0786E" w:rsidRPr="00344365" w:rsidRDefault="00B0786E" w:rsidP="00B0786E">
      <w:pPr>
        <w:pStyle w:val="Zarkazkladnhotextu"/>
        <w:ind w:left="0" w:firstLine="709"/>
      </w:pPr>
      <w:r w:rsidRPr="00344365">
        <w:rPr>
          <w:b/>
        </w:rPr>
        <w:lastRenderedPageBreak/>
        <w:t xml:space="preserve">Ilková - Bandlerová (2006) </w:t>
      </w:r>
      <w:r w:rsidRPr="00344365">
        <w:t>konštatujú, že zákon o živnostenskom podnikaní č. 455/1991 Zb. v znení zmien a doplnkov upravuje:</w:t>
      </w:r>
    </w:p>
    <w:p w:rsidR="00B0786E" w:rsidRPr="00344365" w:rsidRDefault="00B0786E" w:rsidP="00A37004">
      <w:pPr>
        <w:pStyle w:val="Zarkazkladnhotextu"/>
        <w:numPr>
          <w:ilvl w:val="0"/>
          <w:numId w:val="26"/>
        </w:numPr>
        <w:spacing w:before="0" w:after="0"/>
      </w:pPr>
      <w:r w:rsidRPr="00344365">
        <w:t>Verejnoprávne pravidlá výkonu podnikateľskej činnosti, ustanovené vo verejnom záujme. Predovšetkým ide o podmienky nevyhnutné pre získanie oprávnenia k prevádzkovaniu živnostenskej podnikateľskej činnosti a pravidlá správania sa podnikateľov z hľadiska ochrany verejných záujmov. Určujúce hľadisko verejného záujmu, obsiahnuté v živnostenskom zákone je hlavným kritériom pre odlíšenie živnostenského zákona od Občianskeho a Obchodného zákona, ktoré obsahujú základ súkromnoprávnej regulácie vzájomných vzťahov medzi podnikateľskými subjektmi.</w:t>
      </w:r>
    </w:p>
    <w:p w:rsidR="00B0786E" w:rsidRPr="00344365" w:rsidRDefault="00B0786E" w:rsidP="00A37004">
      <w:pPr>
        <w:pStyle w:val="Zarkazkladnhotextu"/>
        <w:numPr>
          <w:ilvl w:val="0"/>
          <w:numId w:val="26"/>
        </w:numPr>
        <w:spacing w:before="0" w:after="0"/>
      </w:pPr>
      <w:r w:rsidRPr="00344365">
        <w:t>Kontrolu dodržiavania požadovaných podmienok a sankcie za porušenie povinností vyplývajúcich zo zákona.</w:t>
      </w:r>
    </w:p>
    <w:p w:rsidR="00B0786E" w:rsidRPr="00344365" w:rsidRDefault="00B0786E" w:rsidP="00A37004">
      <w:pPr>
        <w:pStyle w:val="Zarkazkladnhotextu"/>
        <w:numPr>
          <w:ilvl w:val="0"/>
          <w:numId w:val="26"/>
        </w:numPr>
        <w:spacing w:before="0" w:after="0"/>
      </w:pPr>
      <w:r w:rsidRPr="00344365">
        <w:t>Sústavu orgánov štátnej správy a ich pôsobnosť vo veciach živnostenského podnikania.</w:t>
      </w:r>
    </w:p>
    <w:p w:rsidR="002733A0" w:rsidRDefault="00CE6825" w:rsidP="00956A22">
      <w:pPr>
        <w:pStyle w:val="ZPNormalnyText"/>
        <w:rPr>
          <w:highlight w:val="lightGray"/>
        </w:rPr>
      </w:pPr>
      <w:r>
        <w:rPr>
          <w:b/>
        </w:rPr>
        <w:tab/>
      </w:r>
      <w:r w:rsidR="00B0786E" w:rsidRPr="00344365">
        <w:rPr>
          <w:b/>
        </w:rPr>
        <w:t>MV SR (2008)</w:t>
      </w:r>
      <w:r w:rsidR="00B0786E" w:rsidRPr="00344365">
        <w:t xml:space="preserve"> dodáva, že zákon č. 455/1991 Zb. o živnostenskom podnikaní (živnostenský zákon)</w:t>
      </w:r>
      <w:r w:rsidR="00B0786E" w:rsidRPr="00344365">
        <w:rPr>
          <w:color w:val="FF0000"/>
        </w:rPr>
        <w:t xml:space="preserve"> </w:t>
      </w:r>
      <w:r w:rsidR="00B0786E" w:rsidRPr="00344365">
        <w:rPr>
          <w:color w:val="000000"/>
        </w:rPr>
        <w:t>v znení neskorších predpisov je základným verejno-právnym predpisom určujúcim podmienky odbornej a inej spôsobilosti pre fyzické a právnické osoby, ktoré majú záujem podnikať na území Slovenskej republiky na základe živnostenského oprávnenia. Kľúčovou úlohou zákona je tým ochrániť život, zdravie, bezpečnosť, majetok a iné štátom chránené záujmy občanov pred možnými dôsledkami podnikateľskej činnosti.</w:t>
      </w:r>
    </w:p>
    <w:p w:rsidR="00B57389" w:rsidRDefault="00B57389" w:rsidP="00956A22">
      <w:pPr>
        <w:pStyle w:val="ZPNormalnyText"/>
        <w:rPr>
          <w:highlight w:val="lightGray"/>
        </w:rPr>
      </w:pPr>
    </w:p>
    <w:p w:rsidR="00B57389" w:rsidRPr="00B57389" w:rsidRDefault="00B57389" w:rsidP="00472F63">
      <w:pPr>
        <w:pStyle w:val="ZPPodNadpis3urovenTimesNewRoman"/>
      </w:pPr>
      <w:r w:rsidRPr="00B57389">
        <w:t xml:space="preserve">Druhy živností </w:t>
      </w:r>
    </w:p>
    <w:p w:rsidR="00B57389" w:rsidRPr="00344365" w:rsidRDefault="00B57389" w:rsidP="00B57389">
      <w:pPr>
        <w:pStyle w:val="Zarkazkladnhotextu"/>
        <w:ind w:left="0" w:firstLine="709"/>
      </w:pPr>
      <w:r w:rsidRPr="00344365">
        <w:rPr>
          <w:b/>
        </w:rPr>
        <w:t xml:space="preserve">Ilková - Bandlerová (2006) </w:t>
      </w:r>
      <w:r w:rsidRPr="00344365">
        <w:t>poukazujú na to, že zákon klasifikuje živnosti podľa:</w:t>
      </w:r>
    </w:p>
    <w:p w:rsidR="00B57389" w:rsidRPr="00344365" w:rsidRDefault="00B57389" w:rsidP="00A37004">
      <w:pPr>
        <w:pStyle w:val="Zarkazkladnhotextu"/>
        <w:numPr>
          <w:ilvl w:val="0"/>
          <w:numId w:val="27"/>
        </w:numPr>
        <w:spacing w:before="0" w:after="0"/>
      </w:pPr>
      <w:r w:rsidRPr="00344365">
        <w:t>spôsobu získania živnostenského oprávnenia:</w:t>
      </w:r>
    </w:p>
    <w:p w:rsidR="00B57389" w:rsidRPr="00344365" w:rsidRDefault="00B57389" w:rsidP="00A37004">
      <w:pPr>
        <w:pStyle w:val="Zarkazkladnhotextu"/>
        <w:numPr>
          <w:ilvl w:val="0"/>
          <w:numId w:val="28"/>
        </w:numPr>
        <w:spacing w:before="0" w:after="0"/>
      </w:pPr>
      <w:r w:rsidRPr="00344365">
        <w:t>ohlasovacie;</w:t>
      </w:r>
    </w:p>
    <w:p w:rsidR="00B57389" w:rsidRPr="00344365" w:rsidRDefault="00B57389" w:rsidP="00A37004">
      <w:pPr>
        <w:pStyle w:val="Zarkazkladnhotextu"/>
        <w:numPr>
          <w:ilvl w:val="0"/>
          <w:numId w:val="28"/>
        </w:numPr>
        <w:spacing w:before="0" w:after="0"/>
      </w:pPr>
      <w:r w:rsidRPr="00344365">
        <w:t>koncesované;</w:t>
      </w:r>
    </w:p>
    <w:p w:rsidR="00B57389" w:rsidRPr="00344365" w:rsidRDefault="00B57389" w:rsidP="00A37004">
      <w:pPr>
        <w:pStyle w:val="Zarkazkladnhotextu"/>
        <w:numPr>
          <w:ilvl w:val="0"/>
          <w:numId w:val="27"/>
        </w:numPr>
        <w:spacing w:before="0" w:after="0"/>
      </w:pPr>
      <w:r w:rsidRPr="00344365">
        <w:t>požiadaviek na odbornú spôsobilosť:</w:t>
      </w:r>
    </w:p>
    <w:p w:rsidR="00B57389" w:rsidRPr="00344365" w:rsidRDefault="00B57389" w:rsidP="00A37004">
      <w:pPr>
        <w:pStyle w:val="Zarkazkladnhotextu"/>
        <w:numPr>
          <w:ilvl w:val="0"/>
          <w:numId w:val="29"/>
        </w:numPr>
        <w:spacing w:before="0" w:after="0"/>
      </w:pPr>
      <w:r w:rsidRPr="00344365">
        <w:t>remeselné;</w:t>
      </w:r>
    </w:p>
    <w:p w:rsidR="00B57389" w:rsidRPr="00344365" w:rsidRDefault="00B57389" w:rsidP="00A37004">
      <w:pPr>
        <w:pStyle w:val="Zarkazkladnhotextu"/>
        <w:numPr>
          <w:ilvl w:val="0"/>
          <w:numId w:val="29"/>
        </w:numPr>
        <w:spacing w:before="0" w:after="0"/>
      </w:pPr>
      <w:r w:rsidRPr="00344365">
        <w:t>viazané;</w:t>
      </w:r>
    </w:p>
    <w:p w:rsidR="00B57389" w:rsidRPr="00344365" w:rsidRDefault="00B57389" w:rsidP="00A37004">
      <w:pPr>
        <w:pStyle w:val="Zarkazkladnhotextu"/>
        <w:numPr>
          <w:ilvl w:val="0"/>
          <w:numId w:val="29"/>
        </w:numPr>
        <w:spacing w:before="0" w:after="0"/>
      </w:pPr>
      <w:r w:rsidRPr="00344365">
        <w:t>voľné;</w:t>
      </w:r>
    </w:p>
    <w:p w:rsidR="00B57389" w:rsidRPr="00344365" w:rsidRDefault="00B57389" w:rsidP="00A37004">
      <w:pPr>
        <w:pStyle w:val="Zarkazkladnhotextu"/>
        <w:numPr>
          <w:ilvl w:val="0"/>
          <w:numId w:val="27"/>
        </w:numPr>
        <w:spacing w:before="0" w:after="0"/>
      </w:pPr>
      <w:r w:rsidRPr="00344365">
        <w:lastRenderedPageBreak/>
        <w:t>predmetu podnikania:</w:t>
      </w:r>
    </w:p>
    <w:p w:rsidR="00B57389" w:rsidRPr="00344365" w:rsidRDefault="00B57389" w:rsidP="00A37004">
      <w:pPr>
        <w:pStyle w:val="Zarkazkladnhotextu"/>
        <w:numPr>
          <w:ilvl w:val="0"/>
          <w:numId w:val="30"/>
        </w:numPr>
        <w:spacing w:before="0" w:after="0"/>
      </w:pPr>
      <w:r w:rsidRPr="00344365">
        <w:t>obchodné;</w:t>
      </w:r>
    </w:p>
    <w:p w:rsidR="00B57389" w:rsidRPr="00344365" w:rsidRDefault="00B57389" w:rsidP="00A37004">
      <w:pPr>
        <w:pStyle w:val="Zarkazkladnhotextu"/>
        <w:numPr>
          <w:ilvl w:val="0"/>
          <w:numId w:val="30"/>
        </w:numPr>
        <w:spacing w:before="0" w:after="0"/>
      </w:pPr>
      <w:r w:rsidRPr="00344365">
        <w:t>výrobné;</w:t>
      </w:r>
    </w:p>
    <w:p w:rsidR="00B57389" w:rsidRPr="00344365" w:rsidRDefault="00B57389" w:rsidP="00A37004">
      <w:pPr>
        <w:pStyle w:val="Zarkazkladnhotextu"/>
        <w:numPr>
          <w:ilvl w:val="0"/>
          <w:numId w:val="30"/>
        </w:numPr>
        <w:spacing w:before="0" w:after="0"/>
      </w:pPr>
      <w:r w:rsidRPr="00344365">
        <w:t>živnosti poskytujúce služby.</w:t>
      </w:r>
    </w:p>
    <w:p w:rsidR="00B57389" w:rsidRPr="00344365" w:rsidRDefault="00B57389" w:rsidP="00B57389">
      <w:pPr>
        <w:pStyle w:val="Zarkazkladnhotextu"/>
        <w:ind w:left="0" w:firstLine="709"/>
      </w:pPr>
      <w:r w:rsidRPr="00344365">
        <w:rPr>
          <w:b/>
        </w:rPr>
        <w:t xml:space="preserve">Horvátová (2001) </w:t>
      </w:r>
      <w:r w:rsidRPr="00344365">
        <w:t>konštatuje, že z hľadiska spôsobu získania živnostenského oprávnenia rozdeľujeme živnosti na ohlasovacie a koncesované. Pri ohlasovacích živnostiach postačuje na získanie živnostenského oprávnenia kvalifikované ohlásenie miestne príslušnému živnostenskému úradu. V prípade koncesovaných živností sa vyžaduje na ich prevádzkovanie štátne povolenie - koncesia.</w:t>
      </w:r>
    </w:p>
    <w:p w:rsidR="00B57389" w:rsidRPr="00344365" w:rsidRDefault="00B57389" w:rsidP="00B57389">
      <w:pPr>
        <w:pStyle w:val="Zarkazkladnhotextu"/>
        <w:ind w:left="0" w:firstLine="709"/>
      </w:pPr>
      <w:r w:rsidRPr="00344365">
        <w:rPr>
          <w:b/>
        </w:rPr>
        <w:t>Mintál (2008)</w:t>
      </w:r>
      <w:r w:rsidRPr="00344365">
        <w:t xml:space="preserve"> podotýka, že v rámci § 19 živnostenského zákona je riešené základné rozdelenie ohlasovaných živností. Kritériom tohto delenia je váha požiadaviek na odbornú spôsobilosť, ktorú je potrebné preukázať pre zákonné prevádzkovanie tej-ktorej živnosti. </w:t>
      </w:r>
    </w:p>
    <w:p w:rsidR="00B57389" w:rsidRPr="00344365" w:rsidRDefault="00B57389" w:rsidP="00B57389">
      <w:pPr>
        <w:pStyle w:val="Zarkazkladnhotextu"/>
        <w:ind w:left="0" w:firstLine="709"/>
      </w:pPr>
      <w:r w:rsidRPr="00344365">
        <w:t>Na základe tohto živnostenský zákon v rámci ohlasovacích živností rozpoznáva:</w:t>
      </w:r>
    </w:p>
    <w:p w:rsidR="00B57389" w:rsidRPr="00344365" w:rsidRDefault="00B57389" w:rsidP="00A37004">
      <w:pPr>
        <w:pStyle w:val="Zarkazkladnhotextu"/>
        <w:numPr>
          <w:ilvl w:val="0"/>
          <w:numId w:val="31"/>
        </w:numPr>
        <w:spacing w:before="0" w:after="0"/>
      </w:pPr>
      <w:r w:rsidRPr="00344365">
        <w:t>živnosti, pri ktorých sa odborná spôsobilosť nevyžaduje vôbec - voľné živnosti;</w:t>
      </w:r>
    </w:p>
    <w:p w:rsidR="00B57389" w:rsidRDefault="00B57389" w:rsidP="00A37004">
      <w:pPr>
        <w:pStyle w:val="Zarkazkladnhotextu"/>
        <w:numPr>
          <w:ilvl w:val="0"/>
          <w:numId w:val="31"/>
        </w:numPr>
        <w:spacing w:before="0" w:after="0"/>
      </w:pPr>
      <w:r w:rsidRPr="00344365">
        <w:t>živnosti, pri ktorých sa odborná spôsobilosť vyžaduje a preukazuje sa vyučením v odbore príp. podľa § 22 živnostenského zákona - remeselné živnosti;</w:t>
      </w:r>
    </w:p>
    <w:p w:rsidR="00B57389" w:rsidRDefault="00B57389" w:rsidP="00A37004">
      <w:pPr>
        <w:pStyle w:val="Zarkazkladnhotextu"/>
        <w:numPr>
          <w:ilvl w:val="0"/>
          <w:numId w:val="31"/>
        </w:numPr>
        <w:spacing w:before="0" w:after="0"/>
      </w:pPr>
      <w:r w:rsidRPr="00344365">
        <w:t>živnosti, pri ktorých je odborná spôsobilosť rozličná, keďže vyplýva pre každý druh živnosti z obsahu prílohy č. 2 živnostenského zákona - viazané živnosti.</w:t>
      </w:r>
    </w:p>
    <w:p w:rsidR="00B57389" w:rsidRDefault="00B57389" w:rsidP="00B57389">
      <w:pPr>
        <w:pStyle w:val="Zarkazkladnhotextu"/>
        <w:spacing w:before="0" w:after="0"/>
        <w:ind w:left="0"/>
      </w:pPr>
    </w:p>
    <w:p w:rsidR="00893570" w:rsidRPr="00893570" w:rsidRDefault="00893570" w:rsidP="00472F63">
      <w:pPr>
        <w:pStyle w:val="ZPPodNadpis3urovenTimesNewRoman"/>
      </w:pPr>
      <w:r w:rsidRPr="00893570">
        <w:t xml:space="preserve">Subjekt a podmienky realizovania živnostenského podnikania </w:t>
      </w:r>
    </w:p>
    <w:p w:rsidR="00893570" w:rsidRPr="00344365" w:rsidRDefault="00893570" w:rsidP="00893570">
      <w:pPr>
        <w:ind w:firstLine="709"/>
        <w:contextualSpacing/>
      </w:pPr>
      <w:r w:rsidRPr="00344365">
        <w:rPr>
          <w:b/>
        </w:rPr>
        <w:t>Bielik (2006)</w:t>
      </w:r>
      <w:r w:rsidRPr="00344365">
        <w:t xml:space="preserve"> tvrdí, že všetky druhy podnikania podľa zákonov v SR realizujú subjekty podnikania, ktoré môžeme rozdeliť do dvoch skupín, a to:</w:t>
      </w:r>
    </w:p>
    <w:p w:rsidR="00893570" w:rsidRPr="00344365" w:rsidRDefault="00893570" w:rsidP="00A37004">
      <w:pPr>
        <w:numPr>
          <w:ilvl w:val="0"/>
          <w:numId w:val="40"/>
        </w:numPr>
        <w:spacing w:before="0"/>
        <w:contextualSpacing/>
      </w:pPr>
      <w:r w:rsidRPr="00344365">
        <w:t>jednotlivci;</w:t>
      </w:r>
    </w:p>
    <w:p w:rsidR="00893570" w:rsidRPr="00344365" w:rsidRDefault="00893570" w:rsidP="00A37004">
      <w:pPr>
        <w:numPr>
          <w:ilvl w:val="0"/>
          <w:numId w:val="40"/>
        </w:numPr>
        <w:spacing w:before="0"/>
        <w:contextualSpacing/>
      </w:pPr>
      <w:r w:rsidRPr="00344365">
        <w:t>podnikateľské subjekty.</w:t>
      </w:r>
    </w:p>
    <w:p w:rsidR="002552E7" w:rsidRDefault="00893570" w:rsidP="00893570">
      <w:pPr>
        <w:contextualSpacing/>
      </w:pPr>
      <w:r w:rsidRPr="00344365">
        <w:t xml:space="preserve">Podnik jednotlivca je subjektom podnikania, ktorý môže byť buď fyzickou alebo právnickou osobou. Vždy to je právne samostatný, vlastnícky oddelený subjekt. Je to väčšinou malý podnik, ktorý je vo vlastníctve jednej osoby, ktorá plne a neobmedzene ručí za výsledky podnikateľskej činnosti a sama znáša podnikateľské riziko. </w:t>
      </w:r>
    </w:p>
    <w:p w:rsidR="002552E7" w:rsidRDefault="002552E7" w:rsidP="00893570">
      <w:pPr>
        <w:contextualSpacing/>
      </w:pPr>
    </w:p>
    <w:p w:rsidR="002552E7" w:rsidRDefault="002552E7" w:rsidP="00893570">
      <w:pPr>
        <w:contextualSpacing/>
      </w:pPr>
    </w:p>
    <w:p w:rsidR="00893570" w:rsidRPr="00344365" w:rsidRDefault="00893570" w:rsidP="00893570">
      <w:pPr>
        <w:contextualSpacing/>
      </w:pPr>
      <w:r w:rsidRPr="00344365">
        <w:lastRenderedPageBreak/>
        <w:t xml:space="preserve">Podniky jednotlivca majú obvykle formu živnosti, ktorou sa rozumie pravidelná zárobková činnosť prevádzkovaná samostatne, pod vlastným menom, na vlastnú zodpovednosť a vlastné riziko za dosiahnuté ekonomické výsledky. Podmienky podnikania podľa živnosti upravuje živnostenský zákon. </w:t>
      </w:r>
    </w:p>
    <w:p w:rsidR="00893570" w:rsidRPr="00344365" w:rsidRDefault="00893570" w:rsidP="00893570">
      <w:pPr>
        <w:contextualSpacing/>
      </w:pPr>
      <w:r w:rsidRPr="00344365">
        <w:t>Podnikateľské jednotky sú tiež právne samostatné a vlastnícky oddelené subjekty podnikania, v ktorých rozvíja podnikateľské aktivity kolektív podnikateľov. Podnikateľskými jednotkami sú všetky obchodné spoločnosti, banky, družstvá, čiže sú to podnikateľské jednotky s úplne autonómnym podnikateľským správaním.</w:t>
      </w:r>
    </w:p>
    <w:p w:rsidR="00893570" w:rsidRPr="00344365" w:rsidRDefault="00893570" w:rsidP="00893570">
      <w:pPr>
        <w:contextualSpacing/>
      </w:pPr>
      <w:r w:rsidRPr="00344365">
        <w:t>Základným podnikateľským subjektom v trhovej ekonomike je podnik.</w:t>
      </w:r>
    </w:p>
    <w:p w:rsidR="00893570" w:rsidRPr="00344365" w:rsidRDefault="00893570" w:rsidP="00893570">
      <w:pPr>
        <w:ind w:firstLine="708"/>
        <w:contextualSpacing/>
      </w:pPr>
      <w:r w:rsidRPr="00344365">
        <w:rPr>
          <w:b/>
        </w:rPr>
        <w:t>Bielik - Gurčík - Dvořák - Blcháč (2002)</w:t>
      </w:r>
      <w:r w:rsidRPr="00344365">
        <w:t xml:space="preserve"> uvádzajú, že podnik je forma podnikateľskej činnosti, v rámci ktorej dochádza k cieľavedomému spájaniu hmotných, finančných a ľudských zdrojov v jednej výrobno-organizačnej jednotke s uzatvoreným obratom hodnoty a cieľom produkovať úžitkové hodnoty pre potreby trhu a pre vlastné uspokojenie potrieb subjektu. Úlohou podniku je vyrábať tovar a poskytovať služby na uspokojovanie potrieb ľudí. Cieľom podnikovej činnosti je zvyčajne zisk, respektíve rozmnoženie majetku, zväčšenie bohatstva.</w:t>
      </w:r>
    </w:p>
    <w:p w:rsidR="00893570" w:rsidRPr="00344365" w:rsidRDefault="00893570" w:rsidP="00893570">
      <w:pPr>
        <w:tabs>
          <w:tab w:val="left" w:pos="709"/>
        </w:tabs>
        <w:ind w:firstLine="709"/>
        <w:contextualSpacing/>
      </w:pPr>
      <w:r w:rsidRPr="00344365">
        <w:rPr>
          <w:b/>
        </w:rPr>
        <w:t>Gozora (2000)</w:t>
      </w:r>
      <w:r w:rsidRPr="00344365">
        <w:t xml:space="preserve"> dodáva, že výrobno-organizačná jednotka, ktorá navonok vystupuje ako podnik, má charakteristické znaky, ktorými sa odlišuje od ostatných organizačných jednotiek. Ide o tieto znaky:</w:t>
      </w:r>
    </w:p>
    <w:p w:rsidR="00893570" w:rsidRPr="00344365" w:rsidRDefault="00893570" w:rsidP="00A37004">
      <w:pPr>
        <w:numPr>
          <w:ilvl w:val="0"/>
          <w:numId w:val="37"/>
        </w:numPr>
        <w:spacing w:before="0"/>
        <w:contextualSpacing/>
      </w:pPr>
      <w:r w:rsidRPr="00344365">
        <w:t>právna subjektivita;</w:t>
      </w:r>
    </w:p>
    <w:p w:rsidR="00893570" w:rsidRPr="00344365" w:rsidRDefault="00893570" w:rsidP="00A37004">
      <w:pPr>
        <w:numPr>
          <w:ilvl w:val="0"/>
          <w:numId w:val="37"/>
        </w:numPr>
        <w:spacing w:before="0"/>
        <w:contextualSpacing/>
      </w:pPr>
      <w:r w:rsidRPr="00344365">
        <w:t>majetková samostatnosť;</w:t>
      </w:r>
    </w:p>
    <w:p w:rsidR="00893570" w:rsidRPr="00344365" w:rsidRDefault="00893570" w:rsidP="00A37004">
      <w:pPr>
        <w:numPr>
          <w:ilvl w:val="0"/>
          <w:numId w:val="37"/>
        </w:numPr>
        <w:spacing w:before="0"/>
        <w:contextualSpacing/>
      </w:pPr>
      <w:r w:rsidRPr="00344365">
        <w:t>majetková zodpovednosť;</w:t>
      </w:r>
    </w:p>
    <w:p w:rsidR="00893570" w:rsidRPr="00344365" w:rsidRDefault="00893570" w:rsidP="00A37004">
      <w:pPr>
        <w:numPr>
          <w:ilvl w:val="0"/>
          <w:numId w:val="37"/>
        </w:numPr>
        <w:spacing w:before="0"/>
        <w:contextualSpacing/>
      </w:pPr>
      <w:r w:rsidRPr="00344365">
        <w:t>ekonomická samostatnosť;</w:t>
      </w:r>
    </w:p>
    <w:p w:rsidR="00893570" w:rsidRPr="00344365" w:rsidRDefault="00893570" w:rsidP="00A37004">
      <w:pPr>
        <w:numPr>
          <w:ilvl w:val="0"/>
          <w:numId w:val="37"/>
        </w:numPr>
        <w:spacing w:before="0"/>
        <w:contextualSpacing/>
      </w:pPr>
      <w:r w:rsidRPr="00344365">
        <w:t>zápis do registra;</w:t>
      </w:r>
    </w:p>
    <w:p w:rsidR="00893570" w:rsidRPr="00344365" w:rsidRDefault="00893570" w:rsidP="00A37004">
      <w:pPr>
        <w:numPr>
          <w:ilvl w:val="0"/>
          <w:numId w:val="37"/>
        </w:numPr>
        <w:spacing w:before="0"/>
        <w:contextualSpacing/>
      </w:pPr>
      <w:r w:rsidRPr="00344365">
        <w:t>organizačná celistvosť a jednotne vedená účtovná evidencia;</w:t>
      </w:r>
    </w:p>
    <w:p w:rsidR="00893570" w:rsidRPr="00344365" w:rsidRDefault="00893570" w:rsidP="00A37004">
      <w:pPr>
        <w:numPr>
          <w:ilvl w:val="0"/>
          <w:numId w:val="37"/>
        </w:numPr>
        <w:spacing w:before="0"/>
        <w:contextualSpacing/>
      </w:pPr>
      <w:r w:rsidRPr="00344365">
        <w:t>iné znaky.</w:t>
      </w:r>
    </w:p>
    <w:p w:rsidR="00893570" w:rsidRPr="00344365" w:rsidRDefault="00893570" w:rsidP="00893570">
      <w:pPr>
        <w:contextualSpacing/>
      </w:pPr>
      <w:r w:rsidRPr="00344365">
        <w:t>Popri uvedených znakoch fungujúci podnik plní počas svojej existencie niekoľko funkcií:</w:t>
      </w:r>
    </w:p>
    <w:p w:rsidR="00893570" w:rsidRPr="00344365" w:rsidRDefault="00893570" w:rsidP="00A37004">
      <w:pPr>
        <w:numPr>
          <w:ilvl w:val="0"/>
          <w:numId w:val="38"/>
        </w:numPr>
        <w:spacing w:before="0"/>
        <w:contextualSpacing/>
      </w:pPr>
      <w:r w:rsidRPr="00344365">
        <w:t>podnikateľská;</w:t>
      </w:r>
    </w:p>
    <w:p w:rsidR="00893570" w:rsidRPr="00344365" w:rsidRDefault="00893570" w:rsidP="00A37004">
      <w:pPr>
        <w:numPr>
          <w:ilvl w:val="0"/>
          <w:numId w:val="38"/>
        </w:numPr>
        <w:spacing w:before="0"/>
        <w:contextualSpacing/>
      </w:pPr>
      <w:r w:rsidRPr="00344365">
        <w:t>ekonomická;</w:t>
      </w:r>
    </w:p>
    <w:p w:rsidR="00893570" w:rsidRPr="00344365" w:rsidRDefault="00893570" w:rsidP="00A37004">
      <w:pPr>
        <w:numPr>
          <w:ilvl w:val="0"/>
          <w:numId w:val="38"/>
        </w:numPr>
        <w:spacing w:before="0"/>
        <w:contextualSpacing/>
      </w:pPr>
      <w:r w:rsidRPr="00344365">
        <w:t>biologicko-ekologická;</w:t>
      </w:r>
    </w:p>
    <w:p w:rsidR="00893570" w:rsidRPr="00344365" w:rsidRDefault="00893570" w:rsidP="00A37004">
      <w:pPr>
        <w:numPr>
          <w:ilvl w:val="0"/>
          <w:numId w:val="38"/>
        </w:numPr>
        <w:spacing w:before="0"/>
        <w:contextualSpacing/>
      </w:pPr>
      <w:r w:rsidRPr="00344365">
        <w:t>výrobná;</w:t>
      </w:r>
    </w:p>
    <w:p w:rsidR="00893570" w:rsidRPr="00344365" w:rsidRDefault="00893570" w:rsidP="00A37004">
      <w:pPr>
        <w:numPr>
          <w:ilvl w:val="0"/>
          <w:numId w:val="38"/>
        </w:numPr>
        <w:spacing w:before="0"/>
        <w:contextualSpacing/>
      </w:pPr>
      <w:r w:rsidRPr="00344365">
        <w:t>organizačná;</w:t>
      </w:r>
    </w:p>
    <w:p w:rsidR="00893570" w:rsidRPr="00344365" w:rsidRDefault="00893570" w:rsidP="00A37004">
      <w:pPr>
        <w:numPr>
          <w:ilvl w:val="0"/>
          <w:numId w:val="38"/>
        </w:numPr>
        <w:spacing w:before="0"/>
        <w:contextualSpacing/>
      </w:pPr>
      <w:r w:rsidRPr="00344365">
        <w:t>technická;</w:t>
      </w:r>
    </w:p>
    <w:p w:rsidR="00893570" w:rsidRPr="00344365" w:rsidRDefault="00893570" w:rsidP="00A37004">
      <w:pPr>
        <w:numPr>
          <w:ilvl w:val="0"/>
          <w:numId w:val="38"/>
        </w:numPr>
        <w:spacing w:before="0"/>
        <w:contextualSpacing/>
      </w:pPr>
      <w:r w:rsidRPr="00344365">
        <w:lastRenderedPageBreak/>
        <w:t>rozvojová;</w:t>
      </w:r>
    </w:p>
    <w:p w:rsidR="00893570" w:rsidRPr="00344365" w:rsidRDefault="00893570" w:rsidP="00A37004">
      <w:pPr>
        <w:numPr>
          <w:ilvl w:val="0"/>
          <w:numId w:val="38"/>
        </w:numPr>
        <w:spacing w:before="0"/>
        <w:contextualSpacing/>
      </w:pPr>
      <w:r w:rsidRPr="00344365">
        <w:t>sociálna;</w:t>
      </w:r>
    </w:p>
    <w:p w:rsidR="00893570" w:rsidRPr="00344365" w:rsidRDefault="00893570" w:rsidP="00A37004">
      <w:pPr>
        <w:numPr>
          <w:ilvl w:val="0"/>
          <w:numId w:val="38"/>
        </w:numPr>
        <w:spacing w:before="0"/>
        <w:contextualSpacing/>
      </w:pPr>
      <w:r w:rsidRPr="00344365">
        <w:t>samofinancujúca;</w:t>
      </w:r>
    </w:p>
    <w:p w:rsidR="00893570" w:rsidRPr="00344365" w:rsidRDefault="00893570" w:rsidP="00A37004">
      <w:pPr>
        <w:numPr>
          <w:ilvl w:val="0"/>
          <w:numId w:val="38"/>
        </w:numPr>
        <w:spacing w:before="0"/>
        <w:contextualSpacing/>
      </w:pPr>
      <w:r w:rsidRPr="00344365">
        <w:t>samosprávna.</w:t>
      </w:r>
    </w:p>
    <w:p w:rsidR="00893570" w:rsidRPr="00344365" w:rsidRDefault="00893570" w:rsidP="00893570">
      <w:pPr>
        <w:ind w:firstLine="709"/>
        <w:contextualSpacing/>
      </w:pPr>
      <w:r w:rsidRPr="00344365">
        <w:rPr>
          <w:b/>
        </w:rPr>
        <w:t>Belajová - Fáziková (2004)</w:t>
      </w:r>
      <w:r w:rsidRPr="00344365">
        <w:t xml:space="preserve"> poukazujú na to, že podnik je otvoreným systémom, ktorý má rôzne vzťahy so svojím ekonomickým, spoločenským a prírodným prostredím. Väzby podniku na okolie môžeme rozdeliť na:</w:t>
      </w:r>
    </w:p>
    <w:p w:rsidR="00893570" w:rsidRPr="00344365" w:rsidRDefault="00893570" w:rsidP="00A37004">
      <w:pPr>
        <w:numPr>
          <w:ilvl w:val="0"/>
          <w:numId w:val="39"/>
        </w:numPr>
        <w:spacing w:before="0"/>
        <w:contextualSpacing/>
      </w:pPr>
      <w:r w:rsidRPr="00344365">
        <w:t>horizontálne vzťahy (vzťahy sledujúce výrobkový reťazec);</w:t>
      </w:r>
    </w:p>
    <w:p w:rsidR="00893570" w:rsidRPr="00344365" w:rsidRDefault="00893570" w:rsidP="00A37004">
      <w:pPr>
        <w:numPr>
          <w:ilvl w:val="0"/>
          <w:numId w:val="39"/>
        </w:numPr>
        <w:spacing w:before="0"/>
        <w:contextualSpacing/>
      </w:pPr>
      <w:r w:rsidRPr="00344365">
        <w:t>vertikálne vzťahy (vzťahy s prírodným, sociálnym a inštitucionálnym prostredím).</w:t>
      </w:r>
    </w:p>
    <w:p w:rsidR="00893570" w:rsidRPr="00344365" w:rsidRDefault="00893570" w:rsidP="00893570">
      <w:pPr>
        <w:ind w:firstLine="709"/>
        <w:contextualSpacing/>
      </w:pPr>
      <w:r w:rsidRPr="00344365">
        <w:rPr>
          <w:b/>
        </w:rPr>
        <w:t xml:space="preserve">Gozora (2000) </w:t>
      </w:r>
      <w:r w:rsidRPr="00344365">
        <w:t xml:space="preserve">potvrdzuje, že nositeľmi podnikateľskej činnosti sú podnikateľské alebo hospodárske subjekty, ktoré vstúpili do podnikateľského priestoru v minulosti, alebo ktoré sa usilujú vstúpiť na budúce trhy. Ich úspešnosť je determinovaná objektívnymi a subjektívnymi činiteľmi. Určujúcim činiteľom typu a postavenia podnikateľského subjektu v trhovom prostredí sú vlastnícke vzťahy, organizačno-právna forma podnikania a podnikateľská schopnosť. </w:t>
      </w:r>
    </w:p>
    <w:p w:rsidR="00893570" w:rsidRPr="00344365" w:rsidRDefault="00893570" w:rsidP="00893570">
      <w:pPr>
        <w:contextualSpacing/>
      </w:pPr>
      <w:r w:rsidRPr="00344365">
        <w:t xml:space="preserve">Podnikateľské subjekty sú základnými prvkami podnikovo-hospodárskej základne a nositeľmi ekonomického, technického a sociálneho rozvoja spoločnosti. Sú hybnou silou a motorom národného hospodárstva, ale aj určujúcimi činiteľmi regionálnej politiky, trvale udržateľného rozvoja a rastu zamestnanosti vidieckeho obyvateľstva. </w:t>
      </w:r>
    </w:p>
    <w:p w:rsidR="00893570" w:rsidRPr="00344365" w:rsidRDefault="00893570" w:rsidP="002552E7">
      <w:pPr>
        <w:pStyle w:val="Zarkazkladnhotextu"/>
        <w:ind w:left="0" w:firstLine="709"/>
      </w:pPr>
      <w:r w:rsidRPr="00344365">
        <w:t xml:space="preserve">Organizujúcim prvkom v procese výroby je podnikateľ. Podnikatelia zodpovedajú za ekonomické rozhodnutia, rozhodujú o tom, čo a koľko budú vyrábať, aké výrobné technológie budú používať a pod. Podnikanie je činnosť, ktorú robí podnikateľ samostatne vo vlastnom mene a na vlastnú zodpovednosť s cieľom dosiahnuť určitú kriteriálnu funkciu. Firma teda vystupuje ako taký subjekt v ekonomike, ktorý má ekonomickú samostatnosť a právnu subjektivitu. To jej umožňuje podnikať - produkovať tovary a služby a kupovať výrobné faktory. V trhovom hospodárstve štát nezasahuje do činnosti firmy, stanovuje iba všeobecne záväzné normy (pravidlá podnikania, dane, odvody a pod.). Firma sama, nezávisle od štátu, rozhoduje o tom, čo bude vyrábať, ako vyrábať, ako kombinovať výrobné faktory i pre koho vyrábať </w:t>
      </w:r>
      <w:r w:rsidRPr="00344365">
        <w:rPr>
          <w:b/>
        </w:rPr>
        <w:t>(Lisý, 2000)</w:t>
      </w:r>
      <w:r w:rsidRPr="00344365">
        <w:t>.</w:t>
      </w:r>
    </w:p>
    <w:p w:rsidR="002552E7" w:rsidRDefault="002552E7" w:rsidP="00893570">
      <w:pPr>
        <w:pStyle w:val="Zarkazkladnhotextu"/>
      </w:pPr>
    </w:p>
    <w:p w:rsidR="00893570" w:rsidRPr="00344365" w:rsidRDefault="00893570" w:rsidP="002552E7">
      <w:pPr>
        <w:pStyle w:val="Zarkazkladnhotextu"/>
        <w:ind w:left="0" w:firstLine="709"/>
      </w:pPr>
      <w:r w:rsidRPr="00344365">
        <w:lastRenderedPageBreak/>
        <w:t>Podľa</w:t>
      </w:r>
      <w:r w:rsidRPr="00344365">
        <w:rPr>
          <w:b/>
        </w:rPr>
        <w:t xml:space="preserve"> Barrowa (1996) </w:t>
      </w:r>
      <w:r w:rsidRPr="00344365">
        <w:t xml:space="preserve">je podnikateľ človek, ktorý objaví príležitosť a sústredí potrebné peniaze a ostatné prostriedky, potrebné k využitiu tejto príležitosti. Zoberie na seba časť alebo všetky riziká spojené s realizáciou plánov, aby využil túto príležitosť. Na podnikanie môžeme pozerať ako na určitý charakteristický typ chovania alebo na charakterový rys osobnosti. Pojem „podnikateľ“ ľudia spravidla vzťahujú na manažéra - vlastníka a odlišujú ho tým od majiteľa (bossa), ktorý rovnako vlastní podnik, ale najíma na jeho riadenie profesionálov. Toto zúžené chápanie je zavádzajúce a nesprávne vyraďuje veľké podniky, vrátane podnikov vlastnených štátom, ktoré rovnako potrebujú podnikateľov. Termín „podnikateľ“ bol do ekonómie zavedený Cantilonom (1755) a jeho užívanie presadil francúzsky ekonóm J.B. Say okolo roku 1800. Používal tento termín pre označenie osoby, „ktorá posúva ekonomické zdroje z oblasti nižšej produktivity do oblasti vyššej produktivity a vyššieho dôchodku (príjmu).“ </w:t>
      </w:r>
    </w:p>
    <w:p w:rsidR="00893570" w:rsidRPr="00344365" w:rsidRDefault="00893570" w:rsidP="002552E7">
      <w:pPr>
        <w:pStyle w:val="Zarkazkladnhotextu"/>
        <w:ind w:left="0" w:firstLine="709"/>
        <w:rPr>
          <w:b/>
        </w:rPr>
      </w:pPr>
      <w:r w:rsidRPr="00344365">
        <w:rPr>
          <w:b/>
        </w:rPr>
        <w:t>Bielik (2006)</w:t>
      </w:r>
      <w:r w:rsidRPr="00344365">
        <w:t xml:space="preserve"> sa obracia na Obchodný zákonník, podľa ktorého sa za podnikateľa považuje osoba (právnická alebo fyzická), ktorá je zapísaná v obchodnom registri, podniká na základe živnostenského oprávnenia, podniká na základe iného než živnostenského oprávnenia podľa osobitných predpisov alebo uskutočňuje poľnohospodársku výrobu a je pre jej výkon evidovaná. Podľa tejto právnej normy sú podnikateľmi všetky obchodné spoločnosti, družstvá a iné právnické osoby registrované na obchodnom súde, živnostníci, slobodné povolania ako aj samostatne hospodáriaci roľníci. </w:t>
      </w:r>
    </w:p>
    <w:p w:rsidR="00893570" w:rsidRPr="00344365" w:rsidRDefault="00893570" w:rsidP="00893570">
      <w:pPr>
        <w:pStyle w:val="Zkladntext"/>
        <w:tabs>
          <w:tab w:val="left" w:pos="709"/>
        </w:tabs>
        <w:spacing w:line="360" w:lineRule="auto"/>
        <w:rPr>
          <w:b/>
        </w:rPr>
      </w:pPr>
      <w:r w:rsidRPr="00344365">
        <w:rPr>
          <w:b/>
        </w:rPr>
        <w:tab/>
      </w:r>
      <w:r w:rsidRPr="002552E7">
        <w:t>Prevádzkovať živnosť môže fyzická i právnická osoba, ak u voľných živností, u ktorých sa nevyžaduje preukazovanie odbornej ani inej spôsobilosti, splní všeobecné podmienky ustanovené živnostenským zákonom. U remeselných, viazaných a koncesovaných živností musí žiadateľ splniť i osobitné podmienky</w:t>
      </w:r>
      <w:r w:rsidRPr="00344365">
        <w:rPr>
          <w:b/>
        </w:rPr>
        <w:t xml:space="preserve"> </w:t>
      </w:r>
      <w:r w:rsidR="00317741">
        <w:rPr>
          <w:b/>
        </w:rPr>
        <w:t xml:space="preserve">               </w:t>
      </w:r>
      <w:r w:rsidRPr="002552E7">
        <w:rPr>
          <w:b/>
        </w:rPr>
        <w:t>(Mirossayová, 2000)</w:t>
      </w:r>
      <w:r w:rsidRPr="002552E7">
        <w:t>.</w:t>
      </w:r>
    </w:p>
    <w:p w:rsidR="00893570" w:rsidRPr="00344365" w:rsidRDefault="00893570" w:rsidP="002552E7">
      <w:pPr>
        <w:pStyle w:val="Zarkazkladnhotextu2"/>
        <w:spacing w:before="0" w:after="0" w:line="360" w:lineRule="auto"/>
        <w:ind w:left="0" w:firstLine="709"/>
        <w:contextualSpacing/>
      </w:pPr>
      <w:r w:rsidRPr="00344365">
        <w:t xml:space="preserve">Podľa </w:t>
      </w:r>
      <w:r w:rsidRPr="00344365">
        <w:rPr>
          <w:b/>
        </w:rPr>
        <w:t xml:space="preserve">Ilkovej - Bandlerovej (2006) </w:t>
      </w:r>
      <w:r w:rsidRPr="00344365">
        <w:t>sú všeobecnými podmienkami prevádzkovania živnosti:</w:t>
      </w:r>
    </w:p>
    <w:p w:rsidR="00893570" w:rsidRPr="00344365" w:rsidRDefault="00893570" w:rsidP="00A37004">
      <w:pPr>
        <w:pStyle w:val="Zarkazkladnhotextu2"/>
        <w:numPr>
          <w:ilvl w:val="0"/>
          <w:numId w:val="32"/>
        </w:numPr>
        <w:spacing w:before="0" w:after="0" w:line="360" w:lineRule="auto"/>
        <w:contextualSpacing/>
      </w:pPr>
      <w:r w:rsidRPr="00344365">
        <w:t>dosiahnutie veku 18 rokov;</w:t>
      </w:r>
    </w:p>
    <w:p w:rsidR="00893570" w:rsidRPr="00344365" w:rsidRDefault="00893570" w:rsidP="00A37004">
      <w:pPr>
        <w:pStyle w:val="Zarkazkladnhotextu2"/>
        <w:numPr>
          <w:ilvl w:val="0"/>
          <w:numId w:val="32"/>
        </w:numPr>
        <w:spacing w:before="0" w:after="0" w:line="360" w:lineRule="auto"/>
        <w:contextualSpacing/>
      </w:pPr>
      <w:r w:rsidRPr="00344365">
        <w:t>spôsobilosť na právne úkony;</w:t>
      </w:r>
    </w:p>
    <w:p w:rsidR="00893570" w:rsidRPr="00344365" w:rsidRDefault="00893570" w:rsidP="00A37004">
      <w:pPr>
        <w:pStyle w:val="Zarkazkladnhotextu2"/>
        <w:numPr>
          <w:ilvl w:val="0"/>
          <w:numId w:val="32"/>
        </w:numPr>
        <w:spacing w:before="0" w:after="0" w:line="360" w:lineRule="auto"/>
        <w:contextualSpacing/>
      </w:pPr>
      <w:r w:rsidRPr="00344365">
        <w:t>bezúhonnosť.</w:t>
      </w:r>
    </w:p>
    <w:p w:rsidR="002552E7" w:rsidRDefault="00893570" w:rsidP="002552E7">
      <w:pPr>
        <w:pStyle w:val="Zarkazkladnhotextu2"/>
        <w:spacing w:before="0" w:after="0" w:line="360" w:lineRule="auto"/>
        <w:ind w:left="0"/>
        <w:contextualSpacing/>
      </w:pPr>
      <w:r w:rsidRPr="00344365">
        <w:t xml:space="preserve">Všeobecné podmienky musia byť splnené pri nadobudnutí akéhokoľvek živnostenského oprávnenia. </w:t>
      </w:r>
    </w:p>
    <w:p w:rsidR="00893570" w:rsidRPr="00344365" w:rsidRDefault="00893570" w:rsidP="002552E7">
      <w:pPr>
        <w:pStyle w:val="Zarkazkladnhotextu2"/>
        <w:spacing w:before="0" w:after="0" w:line="360" w:lineRule="auto"/>
        <w:ind w:left="0"/>
        <w:contextualSpacing/>
      </w:pPr>
      <w:r w:rsidRPr="00344365">
        <w:lastRenderedPageBreak/>
        <w:t xml:space="preserve">Určitú výnimku z tejto zásady umožňuje § 12 živnostenského zákona, podľa ktorého možno so súhlasom súdu, na návrh zákonného zástupcu, prevádzkovať živnosť aj v mene a na účet fyzickej osoby, ktorá nemá vek alebo plnú spôsobilosť na právne úkony. Pokiaľ ide o právnickú osobu musí tieto všeobecné podmienky spĺňať osoba alebo osoby, ktoré sú jej štatutárnym orgánom. Je to zrejme z dôvodu, aby bolo možné zamedziť obchádzaniu podmienky bezúhonnosti prostredníctvom založenia právnickej osoby jednou fyzickou osobou. </w:t>
      </w:r>
    </w:p>
    <w:p w:rsidR="00893570" w:rsidRPr="00344365" w:rsidRDefault="00893570" w:rsidP="002552E7">
      <w:pPr>
        <w:pStyle w:val="Zarkazkladnhotextu"/>
        <w:spacing w:before="0" w:after="0"/>
        <w:ind w:left="0" w:firstLine="709"/>
        <w:contextualSpacing/>
      </w:pPr>
      <w:r w:rsidRPr="00344365">
        <w:rPr>
          <w:b/>
        </w:rPr>
        <w:t>Mintál (2008)</w:t>
      </w:r>
      <w:r w:rsidRPr="00344365">
        <w:t xml:space="preserve"> uvádza, že okrem všeobecných podmienok na prevádzkovanie živnosti v zmysle § 6 živnostenského zákona sú ustanovené tiež osobitné podmienky prevádzkovania živnosti. Medzi tieto podmienky patria:</w:t>
      </w:r>
    </w:p>
    <w:p w:rsidR="00893570" w:rsidRPr="00344365" w:rsidRDefault="00893570" w:rsidP="00A37004">
      <w:pPr>
        <w:pStyle w:val="Zarkazkladnhotextu"/>
        <w:numPr>
          <w:ilvl w:val="0"/>
          <w:numId w:val="34"/>
        </w:numPr>
        <w:spacing w:before="0" w:after="0"/>
        <w:contextualSpacing/>
      </w:pPr>
      <w:r w:rsidRPr="00344365">
        <w:t>osobitná odborná spôsobilosť - predstavuje súhrn teoretických vedomostí, praktických schopností a ovládanie technických alebo technologických postupov, ktoré musí spĺňať každý kto vykonáva nasledujúce činnosti:</w:t>
      </w:r>
    </w:p>
    <w:p w:rsidR="00893570" w:rsidRPr="00344365" w:rsidRDefault="00893570" w:rsidP="00A37004">
      <w:pPr>
        <w:pStyle w:val="Zarkazkladnhotextu"/>
        <w:numPr>
          <w:ilvl w:val="0"/>
          <w:numId w:val="33"/>
        </w:numPr>
        <w:spacing w:before="0" w:after="0"/>
      </w:pPr>
      <w:r w:rsidRPr="00344365">
        <w:t xml:space="preserve">externe (u zákazníka) vykonávané činnosti; </w:t>
      </w:r>
    </w:p>
    <w:p w:rsidR="00893570" w:rsidRPr="00344365" w:rsidRDefault="00893570" w:rsidP="00A37004">
      <w:pPr>
        <w:pStyle w:val="Zarkazkladnhotextu"/>
        <w:numPr>
          <w:ilvl w:val="0"/>
          <w:numId w:val="33"/>
        </w:numPr>
        <w:spacing w:before="0" w:after="0"/>
      </w:pPr>
      <w:r w:rsidRPr="00344365">
        <w:t>živnosti vykonávané v prevádzkarni alebo externe (u zákazníka);</w:t>
      </w:r>
    </w:p>
    <w:p w:rsidR="00893570" w:rsidRPr="00344365" w:rsidRDefault="00893570" w:rsidP="00A37004">
      <w:pPr>
        <w:pStyle w:val="Zarkazkladnhotextu"/>
        <w:numPr>
          <w:ilvl w:val="0"/>
          <w:numId w:val="35"/>
        </w:numPr>
        <w:spacing w:before="0" w:after="0"/>
      </w:pPr>
      <w:r w:rsidRPr="00344365">
        <w:t>iná spôsobilosť - k tzv. „inej“ spôsobilosti, ktorú je podnikateľ povinný pri prevádzkovaní koncesovanej živnosti splniť, patrí aj spoľahlivosť, ktorá sa posudzuje vo vzťahu k predmetu podnikania so zreteľom na ochranu života, zdravia, majetkových a iných práv osôb a verejných záujmov.</w:t>
      </w:r>
    </w:p>
    <w:p w:rsidR="00893570" w:rsidRPr="00344365" w:rsidRDefault="00893570" w:rsidP="002552E7">
      <w:pPr>
        <w:pStyle w:val="Zarkazkladnhotextu"/>
        <w:ind w:left="0" w:firstLine="709"/>
      </w:pPr>
      <w:r w:rsidRPr="00344365">
        <w:rPr>
          <w:b/>
        </w:rPr>
        <w:t>Mirossayová (2000)</w:t>
      </w:r>
      <w:r w:rsidRPr="00344365">
        <w:t xml:space="preserve"> tvrdí, že osobitné podmienky musí u právnickej osoby spĺňať zodpovedný zástupca. Zodpovedný zástupca je fyzická osoba ustanovená podnikateľom, ktorá zodpovedá za prevádzkovanie živnosti. Musí byť pri prevádzkovaní živnosti v pracovnoprávnom vzťahu (výnimky: manžel, manželka, spoločník, člen právnickej osoby) a musí mať trvalý pobyt na území SR, alebo povolenie na trvalý pobyt na území SR. </w:t>
      </w:r>
    </w:p>
    <w:p w:rsidR="00893570" w:rsidRPr="00344365" w:rsidRDefault="00893570" w:rsidP="002552E7">
      <w:pPr>
        <w:pStyle w:val="Zarkazkladnhotextu"/>
        <w:ind w:left="0" w:firstLine="709"/>
      </w:pPr>
      <w:r w:rsidRPr="00344365">
        <w:rPr>
          <w:b/>
        </w:rPr>
        <w:t>Horvátová (2001)</w:t>
      </w:r>
      <w:r w:rsidRPr="00344365">
        <w:t xml:space="preserve"> potvrdzuje, že zodpovedný zástupca je odborným garantom prevádzkovania živnosti. Toto jeho postavenie odborného garanta sa zvýraznilo novelou živnostenského zákona z roku 1994, ktorá zaviedla aj povinnosť podnikateľa mať zodpovedného zástupcu v pracovnoprávnom vzťahu, t.j. musí ísť o pracovný pomer, resp. o dohody o prácach vykonávaných mimo pracovného pomeru. Funkciu zodpovedného zástupcu možno vykonávať len v jednej prevádzkarni. Zodpovedný zástupca musí byť podnikateľom ustanovený pre každú prevádzkareň, v ktorej sa prevádzkuje remeselná, viazaná alebo koncesovaná živnosť.</w:t>
      </w:r>
    </w:p>
    <w:p w:rsidR="00893570" w:rsidRPr="00344365" w:rsidRDefault="00893570" w:rsidP="002552E7">
      <w:pPr>
        <w:pStyle w:val="Zarkazkladnhotextu"/>
        <w:ind w:left="0" w:firstLine="709"/>
      </w:pPr>
      <w:r w:rsidRPr="00344365">
        <w:rPr>
          <w:b/>
        </w:rPr>
        <w:lastRenderedPageBreak/>
        <w:t>Mintál (2008)</w:t>
      </w:r>
      <w:r w:rsidRPr="00344365">
        <w:t xml:space="preserve"> vo svojom komentári k § 11 dodáva, že zodpovedným zástupcom môže byť:</w:t>
      </w:r>
    </w:p>
    <w:p w:rsidR="00893570" w:rsidRPr="00344365" w:rsidRDefault="00893570" w:rsidP="00A37004">
      <w:pPr>
        <w:pStyle w:val="Zarkazkladnhotextu"/>
        <w:numPr>
          <w:ilvl w:val="0"/>
          <w:numId w:val="36"/>
        </w:numPr>
        <w:spacing w:before="0" w:after="0"/>
      </w:pPr>
      <w:r w:rsidRPr="00344365">
        <w:t>osoba s trvalým pobytom na území SR;</w:t>
      </w:r>
    </w:p>
    <w:p w:rsidR="00893570" w:rsidRPr="00344365" w:rsidRDefault="00893570" w:rsidP="00A37004">
      <w:pPr>
        <w:pStyle w:val="Zarkazkladnhotextu"/>
        <w:numPr>
          <w:ilvl w:val="0"/>
          <w:numId w:val="36"/>
        </w:numPr>
        <w:spacing w:before="0" w:after="0"/>
      </w:pPr>
      <w:r w:rsidRPr="00344365">
        <w:t>osoba s prechodným pobytom alebo trvalým pobytom na území SR na základe povolenia podľa zákona č. 48/2002 Z.z. o pobyte cudzincov a o zmene a doplnení niektorých zákonov;</w:t>
      </w:r>
    </w:p>
    <w:p w:rsidR="00893570" w:rsidRPr="00344365" w:rsidRDefault="00893570" w:rsidP="00A37004">
      <w:pPr>
        <w:pStyle w:val="Zarkazkladnhotextu"/>
        <w:numPr>
          <w:ilvl w:val="0"/>
          <w:numId w:val="36"/>
        </w:numPr>
        <w:spacing w:before="0" w:after="0"/>
      </w:pPr>
      <w:r w:rsidRPr="00344365">
        <w:t>štátny občan SR s prechodným alebo trvalým pobytom mimo územia SR, ktorý má ohlásený prechodný pobyt na území SR;</w:t>
      </w:r>
    </w:p>
    <w:p w:rsidR="00893570" w:rsidRPr="00344365" w:rsidRDefault="00893570" w:rsidP="00A37004">
      <w:pPr>
        <w:pStyle w:val="Zarkazkladnhotextu"/>
        <w:numPr>
          <w:ilvl w:val="0"/>
          <w:numId w:val="36"/>
        </w:numPr>
        <w:spacing w:before="0" w:after="0"/>
      </w:pPr>
      <w:r w:rsidRPr="00344365">
        <w:t>štátny príslušník členského štátu Európskych spoločenstiev s bydliskom v členskom štáte, ktorý má na území SR ohlásený pobyt cudzinca.</w:t>
      </w:r>
    </w:p>
    <w:p w:rsidR="00893570" w:rsidRPr="002552E7" w:rsidRDefault="00893570" w:rsidP="00855BB9">
      <w:pPr>
        <w:pStyle w:val="Zarkazkladnhotextu"/>
        <w:spacing w:before="0" w:after="0"/>
        <w:ind w:left="0" w:firstLine="720"/>
      </w:pPr>
      <w:r w:rsidRPr="002552E7">
        <w:t>Ak tak ustanovuje živnostenský zákon, nemusí u právnickej osoby spĺňať osobitné podmienky prevádzkovania živnosti jej zodpovedný zástupca. Podľa niektorých osobitných predpisov sa totiž osobitné podmienky prevádzkovania živnosti nevzťahujú výlučne na odbornú spôsobilosť konkrétnej osoby, ak sa dotýkajú aj organizačnej, priestorovej, resp. technologickej spôsobilosti objektu, a tak právnická osoba v týchto prípadoch nemôže ustanoviť zodpovedného zástupcu, ktorý by spĺňal podmienky osobitného predpisu uvedeného v živnostenskom zákone.</w:t>
      </w:r>
    </w:p>
    <w:p w:rsidR="00B57389" w:rsidRDefault="00B57389" w:rsidP="00B57389">
      <w:pPr>
        <w:pStyle w:val="Zarkazkladnhotextu"/>
        <w:spacing w:before="0" w:after="0"/>
        <w:ind w:left="0"/>
      </w:pPr>
    </w:p>
    <w:p w:rsidR="00855BB9" w:rsidRPr="00893570" w:rsidRDefault="00855BB9" w:rsidP="00472F63">
      <w:pPr>
        <w:pStyle w:val="ZPPodNadpis3urovenTimesNewRoman"/>
      </w:pPr>
      <w:r w:rsidRPr="00344365">
        <w:t>Oprávnenie vykonávať živnostenské podnikanie</w:t>
      </w:r>
      <w:r w:rsidRPr="00893570">
        <w:t xml:space="preserve"> </w:t>
      </w:r>
    </w:p>
    <w:p w:rsidR="00855BB9" w:rsidRPr="00855BB9" w:rsidRDefault="00855BB9" w:rsidP="00855BB9">
      <w:pPr>
        <w:pStyle w:val="Zkladntext3"/>
        <w:ind w:firstLine="708"/>
        <w:rPr>
          <w:sz w:val="24"/>
          <w:szCs w:val="24"/>
        </w:rPr>
      </w:pPr>
      <w:r w:rsidRPr="00855BB9">
        <w:rPr>
          <w:b/>
          <w:sz w:val="24"/>
          <w:szCs w:val="24"/>
        </w:rPr>
        <w:t xml:space="preserve">Škultéty a kol. (2002) </w:t>
      </w:r>
      <w:r w:rsidRPr="00855BB9">
        <w:rPr>
          <w:sz w:val="24"/>
          <w:szCs w:val="24"/>
        </w:rPr>
        <w:t xml:space="preserve">tvrdí, že živnostenským oprávnením sa rozumie oprávnenie prevádzkovať živnosť. Možno ho vykonávať na celom území Slovenskej republiky s výnimkou niektorých koncesovaných živností, pri ktorých môže byť vo verejnom záujme určené územné obmedzenie. Vznik oprávnenia prevádzkovať živnosť je diferencovaný v závislosti od druhu živnosti a povinnosti registrácie v obchodnom registri. Osobám, ktoré sa povinne zapisujú do obchodného registra, vzniká živnostenské oprávnenie dňom zápisu.  </w:t>
      </w:r>
    </w:p>
    <w:p w:rsidR="00855BB9" w:rsidRDefault="00855BB9" w:rsidP="00855BB9">
      <w:pPr>
        <w:pStyle w:val="Zkladntext3"/>
        <w:ind w:firstLine="708"/>
        <w:rPr>
          <w:sz w:val="24"/>
          <w:szCs w:val="24"/>
        </w:rPr>
      </w:pPr>
      <w:r w:rsidRPr="00855BB9">
        <w:rPr>
          <w:b/>
          <w:sz w:val="24"/>
          <w:szCs w:val="24"/>
        </w:rPr>
        <w:t xml:space="preserve">Ilková - Bandlerová (2006) </w:t>
      </w:r>
      <w:r w:rsidRPr="00855BB9">
        <w:rPr>
          <w:sz w:val="24"/>
          <w:szCs w:val="24"/>
        </w:rPr>
        <w:t>konštatujú, že oprávnenie prevádzkovať živnosť vzniká právnickým osobám už zapísaným do obchodného registra, právnickým osobám, ktoré sa do obchodného registra nezapisujú, a fyzickým osobám:</w:t>
      </w:r>
    </w:p>
    <w:p w:rsidR="00855BB9" w:rsidRPr="00855BB9" w:rsidRDefault="00855BB9" w:rsidP="00855BB9">
      <w:pPr>
        <w:pStyle w:val="Zkladntext3"/>
        <w:ind w:firstLine="708"/>
        <w:rPr>
          <w:sz w:val="24"/>
          <w:szCs w:val="24"/>
        </w:rPr>
      </w:pPr>
    </w:p>
    <w:p w:rsidR="00855BB9" w:rsidRPr="00855BB9" w:rsidRDefault="00855BB9" w:rsidP="00A37004">
      <w:pPr>
        <w:pStyle w:val="Zkladntext3"/>
        <w:numPr>
          <w:ilvl w:val="0"/>
          <w:numId w:val="42"/>
        </w:numPr>
        <w:spacing w:before="0" w:after="0"/>
        <w:rPr>
          <w:sz w:val="24"/>
          <w:szCs w:val="24"/>
        </w:rPr>
      </w:pPr>
      <w:r w:rsidRPr="00855BB9">
        <w:rPr>
          <w:sz w:val="24"/>
          <w:szCs w:val="24"/>
        </w:rPr>
        <w:lastRenderedPageBreak/>
        <w:t>pri ohlasovacích živnostiach dňom ohlásenia, alebo pokiaľ je v ohlásení uvedený neskorší deň začatia živnosti, týmto dňom, za deň ohlásenia sa považuje deň podania ohlásenia, ktoré má všetky zákonné náležitosti;</w:t>
      </w:r>
    </w:p>
    <w:p w:rsidR="00855BB9" w:rsidRPr="00855BB9" w:rsidRDefault="00855BB9" w:rsidP="00A37004">
      <w:pPr>
        <w:pStyle w:val="Zkladntext3"/>
        <w:numPr>
          <w:ilvl w:val="0"/>
          <w:numId w:val="42"/>
        </w:numPr>
        <w:spacing w:before="0" w:after="0"/>
        <w:rPr>
          <w:sz w:val="24"/>
          <w:szCs w:val="24"/>
        </w:rPr>
      </w:pPr>
      <w:r w:rsidRPr="00855BB9">
        <w:rPr>
          <w:sz w:val="24"/>
          <w:szCs w:val="24"/>
        </w:rPr>
        <w:t>pri koncesovaných živnostiach dňom doručenia koncesnej listiny.</w:t>
      </w:r>
    </w:p>
    <w:p w:rsidR="00855BB9" w:rsidRPr="00344365" w:rsidRDefault="00855BB9" w:rsidP="00855BB9">
      <w:pPr>
        <w:ind w:firstLine="709"/>
      </w:pPr>
      <w:r w:rsidRPr="00344365">
        <w:t xml:space="preserve">Podľa </w:t>
      </w:r>
      <w:r w:rsidRPr="00344365">
        <w:rPr>
          <w:b/>
        </w:rPr>
        <w:t>Ústredného portálu verejnej správy SR (2009)</w:t>
      </w:r>
      <w:r w:rsidRPr="00344365">
        <w:t xml:space="preserve"> je preukazom živnostenského oprávnenia:</w:t>
      </w:r>
    </w:p>
    <w:p w:rsidR="00855BB9" w:rsidRPr="00344365" w:rsidRDefault="00855BB9" w:rsidP="00A37004">
      <w:pPr>
        <w:numPr>
          <w:ilvl w:val="0"/>
          <w:numId w:val="41"/>
        </w:numPr>
        <w:spacing w:before="0"/>
      </w:pPr>
      <w:r w:rsidRPr="00344365">
        <w:t>živnostenský list osvedčujúci splnenie podmienok ustanovených zákonom na prevádzkovanie ohlasovacích živností, do vydania živnostenského listu rovnopis ohlásenia s preukázaným doručením;</w:t>
      </w:r>
    </w:p>
    <w:p w:rsidR="00855BB9" w:rsidRPr="00344365" w:rsidRDefault="00855BB9" w:rsidP="00A37004">
      <w:pPr>
        <w:numPr>
          <w:ilvl w:val="0"/>
          <w:numId w:val="41"/>
        </w:numPr>
        <w:spacing w:before="0"/>
      </w:pPr>
      <w:r w:rsidRPr="00344365">
        <w:t>koncesná listina, ktorou bola udelená koncesia;</w:t>
      </w:r>
    </w:p>
    <w:p w:rsidR="00855BB9" w:rsidRPr="00344365" w:rsidRDefault="00855BB9" w:rsidP="00A37004">
      <w:pPr>
        <w:numPr>
          <w:ilvl w:val="0"/>
          <w:numId w:val="41"/>
        </w:numPr>
        <w:spacing w:before="0"/>
      </w:pPr>
      <w:r w:rsidRPr="00344365">
        <w:t xml:space="preserve">výpis zo živnostenského registra. </w:t>
      </w:r>
    </w:p>
    <w:p w:rsidR="00855BB9" w:rsidRPr="00855BB9" w:rsidRDefault="00855BB9" w:rsidP="00855BB9">
      <w:pPr>
        <w:pStyle w:val="Zkladntext"/>
        <w:spacing w:line="360" w:lineRule="auto"/>
      </w:pPr>
      <w:r w:rsidRPr="00855BB9">
        <w:t xml:space="preserve">Týmito dokladmi sa podnikateľ preukazuje. Rozsah živnostenského oprávnenia sa posudzuje podľa obsahu živnostenského listu alebo koncesnej listiny. </w:t>
      </w:r>
    </w:p>
    <w:p w:rsidR="00855BB9" w:rsidRPr="00855BB9" w:rsidRDefault="00855BB9" w:rsidP="00855BB9">
      <w:pPr>
        <w:pStyle w:val="Zkladntext"/>
        <w:spacing w:line="360" w:lineRule="auto"/>
      </w:pPr>
      <w:r w:rsidRPr="00344365">
        <w:rPr>
          <w:b/>
        </w:rPr>
        <w:tab/>
      </w:r>
      <w:r w:rsidRPr="00855BB9">
        <w:rPr>
          <w:b/>
        </w:rPr>
        <w:t>Daňko a kol. (2003)</w:t>
      </w:r>
      <w:r w:rsidRPr="00344365">
        <w:rPr>
          <w:b/>
        </w:rPr>
        <w:t xml:space="preserve"> </w:t>
      </w:r>
      <w:r w:rsidRPr="00855BB9">
        <w:t>dodáva, že jeden podnikateľ môže vykonávať viac činností, ak  má na každú živnostenské oprávnenie. Živnostenské oprávnenie zaniká:</w:t>
      </w:r>
    </w:p>
    <w:p w:rsidR="00855BB9" w:rsidRPr="00855BB9" w:rsidRDefault="00855BB9" w:rsidP="00A37004">
      <w:pPr>
        <w:pStyle w:val="Zkladntext"/>
        <w:numPr>
          <w:ilvl w:val="0"/>
          <w:numId w:val="43"/>
        </w:numPr>
        <w:spacing w:line="360" w:lineRule="auto"/>
      </w:pPr>
      <w:r w:rsidRPr="00855BB9">
        <w:t>smrťou podnikateľa, ak v živnosti nepokračujú dedičia;</w:t>
      </w:r>
    </w:p>
    <w:p w:rsidR="00855BB9" w:rsidRPr="00855BB9" w:rsidRDefault="00855BB9" w:rsidP="00A37004">
      <w:pPr>
        <w:pStyle w:val="Zkladntext"/>
        <w:numPr>
          <w:ilvl w:val="0"/>
          <w:numId w:val="43"/>
        </w:numPr>
        <w:spacing w:line="360" w:lineRule="auto"/>
      </w:pPr>
      <w:r w:rsidRPr="00855BB9">
        <w:t>zánikom právnickej osoby;</w:t>
      </w:r>
    </w:p>
    <w:p w:rsidR="00855BB9" w:rsidRDefault="00855BB9" w:rsidP="00A37004">
      <w:pPr>
        <w:pStyle w:val="Zkladntext"/>
        <w:numPr>
          <w:ilvl w:val="0"/>
          <w:numId w:val="43"/>
        </w:numPr>
        <w:spacing w:line="360" w:lineRule="auto"/>
      </w:pPr>
      <w:r w:rsidRPr="00855BB9">
        <w:t>uplynutím času, na ktorý bolo oprávnenie vydané;</w:t>
      </w:r>
    </w:p>
    <w:p w:rsidR="00855BB9" w:rsidRDefault="00855BB9" w:rsidP="00A37004">
      <w:pPr>
        <w:pStyle w:val="Zkladntext"/>
        <w:numPr>
          <w:ilvl w:val="0"/>
          <w:numId w:val="43"/>
        </w:numPr>
        <w:spacing w:line="360" w:lineRule="auto"/>
      </w:pPr>
      <w:r w:rsidRPr="00855BB9">
        <w:t>rozhodnutím živnostenského úradu podľa zákona.</w:t>
      </w:r>
    </w:p>
    <w:p w:rsidR="00855BB9" w:rsidRPr="00B57389" w:rsidRDefault="00855BB9" w:rsidP="00B57389">
      <w:pPr>
        <w:pStyle w:val="Zarkazkladnhotextu"/>
        <w:spacing w:before="0" w:after="0"/>
        <w:ind w:left="0"/>
      </w:pPr>
    </w:p>
    <w:p w:rsidR="00A727DA" w:rsidRDefault="00D31A1F" w:rsidP="00956A22">
      <w:pPr>
        <w:pStyle w:val="ZPNadpisKapitolyTimesNewRoman"/>
      </w:pPr>
      <w:r>
        <w:lastRenderedPageBreak/>
        <w:t>Cieľ práce</w:t>
      </w:r>
    </w:p>
    <w:p w:rsidR="00956A22" w:rsidRPr="00C7775F" w:rsidRDefault="00956A22" w:rsidP="00405E53">
      <w:pPr>
        <w:pStyle w:val="Zarkazkladnhotextu"/>
        <w:spacing w:before="0" w:after="0"/>
        <w:ind w:left="0" w:firstLine="720"/>
      </w:pPr>
      <w:r>
        <w:t>Hlavným c</w:t>
      </w:r>
      <w:r w:rsidRPr="00344365">
        <w:t xml:space="preserve">ieľom tejto diplomovej práce je </w:t>
      </w:r>
      <w:r>
        <w:t>aplikovanie</w:t>
      </w:r>
      <w:r w:rsidRPr="00344365">
        <w:t xml:space="preserve"> správneho poriadku </w:t>
      </w:r>
      <w:r>
        <w:t xml:space="preserve">do živnostenského podnikania, a to prostredníctvom analyzovania platnej úpravy správneho konania a  živnostenského zákona, zhodnotenia právnej úpravy subjektov verejnej správy </w:t>
      </w:r>
      <w:r w:rsidRPr="00344365">
        <w:t>a</w:t>
      </w:r>
      <w:r>
        <w:t> následného analyzovania vzťahov a postavenia živnostenského úradu, ako orgánu s rozhodovacou právomocou v oblasti vydávania živnostenských oprávnení. Pozornosť bola sústredená aj na analyzovanie vývoja tejto právnej formy podnikania na celom území Slovenskej republiky i v jej jednotlivých oblastiach, vývoja počtu vydaných rozhodnutí na úseku živnostenského podnikania (najmä rozhodnutia o vzniku, pozastavení či zániku živností), ako aj analýze podnikateľského subjektu vykonávajúceho podnikateľskú činnosť na základe živnostenského oprávnenia. Na dosiahnutie hlavného cieľa</w:t>
      </w:r>
      <w:r w:rsidRPr="00344365">
        <w:t xml:space="preserve"> </w:t>
      </w:r>
      <w:r>
        <w:t>bolo nevyhnutné rozčleniť problematiku tejto diplomovej práce na čiastkové ciele, ktorými sú:</w:t>
      </w:r>
    </w:p>
    <w:p w:rsidR="00956A22" w:rsidRPr="00344365" w:rsidRDefault="00956A22" w:rsidP="00405E53">
      <w:pPr>
        <w:numPr>
          <w:ilvl w:val="0"/>
          <w:numId w:val="44"/>
        </w:numPr>
        <w:tabs>
          <w:tab w:val="left" w:pos="0"/>
        </w:tabs>
        <w:spacing w:before="0"/>
      </w:pPr>
      <w:r>
        <w:t>Verejná správa a jej charakteristické črty</w:t>
      </w:r>
      <w:r w:rsidRPr="00344365">
        <w:t>;</w:t>
      </w:r>
    </w:p>
    <w:p w:rsidR="00956A22" w:rsidRPr="00344365" w:rsidRDefault="00956A22" w:rsidP="00956A22">
      <w:pPr>
        <w:numPr>
          <w:ilvl w:val="0"/>
          <w:numId w:val="44"/>
        </w:numPr>
        <w:tabs>
          <w:tab w:val="left" w:pos="0"/>
        </w:tabs>
        <w:spacing w:before="0"/>
      </w:pPr>
      <w:r>
        <w:t>Organizačná štruktúra verejnej správy v Slovenskej republike</w:t>
      </w:r>
      <w:r w:rsidRPr="00344365">
        <w:t>;</w:t>
      </w:r>
    </w:p>
    <w:p w:rsidR="00956A22" w:rsidRPr="00344365" w:rsidRDefault="00956A22" w:rsidP="00956A22">
      <w:pPr>
        <w:numPr>
          <w:ilvl w:val="0"/>
          <w:numId w:val="44"/>
        </w:numPr>
        <w:tabs>
          <w:tab w:val="left" w:pos="0"/>
        </w:tabs>
        <w:spacing w:before="0"/>
      </w:pPr>
      <w:r>
        <w:t>Všeobecná charakteristika správneho konania</w:t>
      </w:r>
      <w:r w:rsidRPr="00344365">
        <w:t>;</w:t>
      </w:r>
    </w:p>
    <w:p w:rsidR="00956A22" w:rsidRPr="00344365" w:rsidRDefault="00956A22" w:rsidP="00956A22">
      <w:pPr>
        <w:numPr>
          <w:ilvl w:val="0"/>
          <w:numId w:val="44"/>
        </w:numPr>
        <w:tabs>
          <w:tab w:val="left" w:pos="0"/>
        </w:tabs>
        <w:spacing w:before="0"/>
      </w:pPr>
      <w:r>
        <w:t>Správa na úseku živnostenského podnikania</w:t>
      </w:r>
      <w:r w:rsidRPr="00344365">
        <w:t>;</w:t>
      </w:r>
    </w:p>
    <w:p w:rsidR="00956A22" w:rsidRDefault="00956A22" w:rsidP="00956A22">
      <w:pPr>
        <w:numPr>
          <w:ilvl w:val="0"/>
          <w:numId w:val="44"/>
        </w:numPr>
        <w:tabs>
          <w:tab w:val="left" w:pos="0"/>
        </w:tabs>
        <w:spacing w:before="0"/>
      </w:pPr>
      <w:r>
        <w:t>Analýza živnostenského podnikania v podmienkach Slovenskej republiky</w:t>
      </w:r>
      <w:r w:rsidRPr="00344365">
        <w:t>;</w:t>
      </w:r>
    </w:p>
    <w:p w:rsidR="00956A22" w:rsidRPr="006F4924" w:rsidRDefault="00956A22" w:rsidP="00956A22">
      <w:pPr>
        <w:numPr>
          <w:ilvl w:val="0"/>
          <w:numId w:val="44"/>
        </w:numPr>
        <w:tabs>
          <w:tab w:val="left" w:pos="0"/>
        </w:tabs>
        <w:spacing w:before="0"/>
      </w:pPr>
      <w:r w:rsidRPr="006F4924">
        <w:t>Vzťah správneho poriadku k živnostenskému podnikaniu</w:t>
      </w:r>
      <w:r w:rsidRPr="00344365">
        <w:t>;</w:t>
      </w:r>
    </w:p>
    <w:p w:rsidR="00956A22" w:rsidRPr="006F4924" w:rsidRDefault="00956A22" w:rsidP="00405E53">
      <w:pPr>
        <w:numPr>
          <w:ilvl w:val="0"/>
          <w:numId w:val="44"/>
        </w:numPr>
        <w:tabs>
          <w:tab w:val="left" w:pos="0"/>
        </w:tabs>
        <w:spacing w:before="0"/>
      </w:pPr>
      <w:r w:rsidRPr="006F4924">
        <w:t>Analýza podnikateľského subjektu podnikajúceho na základe živnostenského oprávnenia</w:t>
      </w:r>
      <w:r>
        <w:t>.</w:t>
      </w:r>
    </w:p>
    <w:p w:rsidR="00A727DA" w:rsidRPr="00956A22" w:rsidRDefault="00956A22" w:rsidP="00405E53">
      <w:pPr>
        <w:pStyle w:val="ZPNormalnyText"/>
        <w:spacing w:before="0"/>
      </w:pPr>
      <w:r w:rsidRPr="00956A22">
        <w:t>Základom pre splnenie tohto vytýčeného cieľa bolo dôkladné preštudovanie si informačných zdrojov a  následný proces ich vyhodnocovania.</w:t>
      </w:r>
    </w:p>
    <w:p w:rsidR="00D31A1F" w:rsidRDefault="00D31A1F" w:rsidP="00956A22">
      <w:pPr>
        <w:pStyle w:val="ZPNormalnyText"/>
      </w:pPr>
    </w:p>
    <w:p w:rsidR="00D31A1F" w:rsidRDefault="00D31A1F" w:rsidP="00956A22">
      <w:pPr>
        <w:pStyle w:val="ZPNormalnyText"/>
      </w:pPr>
    </w:p>
    <w:p w:rsidR="00D31A1F" w:rsidRDefault="00D31A1F" w:rsidP="00956A22">
      <w:pPr>
        <w:pStyle w:val="ZPNormalnyText"/>
      </w:pPr>
    </w:p>
    <w:p w:rsidR="00D31A1F" w:rsidRDefault="00D31A1F" w:rsidP="00956A22">
      <w:pPr>
        <w:pStyle w:val="ZPNormalnyText"/>
      </w:pPr>
    </w:p>
    <w:p w:rsidR="00D31A1F" w:rsidRDefault="00D31A1F" w:rsidP="00956A22">
      <w:pPr>
        <w:pStyle w:val="ZPNormalnyText"/>
      </w:pPr>
    </w:p>
    <w:p w:rsidR="00D31A1F" w:rsidRDefault="00D31A1F" w:rsidP="00956A22">
      <w:pPr>
        <w:pStyle w:val="ZPNormalnyText"/>
      </w:pPr>
    </w:p>
    <w:p w:rsidR="00D31A1F" w:rsidRDefault="00D31A1F" w:rsidP="00956A22">
      <w:pPr>
        <w:pStyle w:val="ZPNormalnyText"/>
      </w:pPr>
    </w:p>
    <w:p w:rsidR="00D31A1F" w:rsidRDefault="00D31A1F" w:rsidP="00956A22">
      <w:pPr>
        <w:pStyle w:val="ZPNormalnyText"/>
      </w:pPr>
    </w:p>
    <w:p w:rsidR="00D31A1F" w:rsidRDefault="00D31A1F" w:rsidP="00956A22">
      <w:pPr>
        <w:pStyle w:val="ZPNadpisKapitolyTimesNewRoman"/>
      </w:pPr>
      <w:r>
        <w:lastRenderedPageBreak/>
        <w:t>Metodika práce a metódy skúmania</w:t>
      </w:r>
    </w:p>
    <w:p w:rsidR="00405E53" w:rsidRPr="00405E53" w:rsidRDefault="00405E53" w:rsidP="00405E53">
      <w:pPr>
        <w:pStyle w:val="Zkladntext"/>
        <w:spacing w:line="360" w:lineRule="auto"/>
        <w:ind w:firstLine="708"/>
      </w:pPr>
      <w:r w:rsidRPr="00405E53">
        <w:t>Objektom skúmania tejto diplomovej práce bolo najmä aplikovanie správneho konania do sféry živnostenského podnikania, zisťovanie vývoja samotného živnostenského podnikania v podmienkach Slovenskej republiky a jej oblastiach, skúmanie rozhodnutí vydaných v tejto oblasti a analýza vybran</w:t>
      </w:r>
      <w:r>
        <w:t>ého</w:t>
      </w:r>
      <w:r w:rsidRPr="00405E53">
        <w:t xml:space="preserve"> živnostníka. </w:t>
      </w:r>
    </w:p>
    <w:p w:rsidR="00405E53" w:rsidRPr="00405E53" w:rsidRDefault="00405E53" w:rsidP="00405E53">
      <w:pPr>
        <w:pStyle w:val="Zkladntext"/>
        <w:spacing w:line="360" w:lineRule="auto"/>
        <w:ind w:firstLine="708"/>
      </w:pPr>
      <w:r w:rsidRPr="00405E53">
        <w:t>Pri spracovávaní predmetnej témy sme vychádzali z názorov domácich a zahraničných autorov, ktorí sa zaoberajú danou problematikou. Je potrebné povedať, že problematikou správneho, ako aj živnostenského konania sa zaoberá veľké množstvo publikácií. Východiskom pre určenie základného postupu bolo zozbieranie a následné štúdium vhodnej odbornej literatúry, ako aj iných podkladov. Podkladmi k vypracovaniu tejto diplomovej práce boli predovšetkým:</w:t>
      </w:r>
    </w:p>
    <w:p w:rsidR="00405E53" w:rsidRPr="00405E53" w:rsidRDefault="00405E53" w:rsidP="00405E53">
      <w:pPr>
        <w:numPr>
          <w:ilvl w:val="0"/>
          <w:numId w:val="45"/>
        </w:numPr>
        <w:spacing w:before="0"/>
      </w:pPr>
      <w:r w:rsidRPr="00405E53">
        <w:t>údaje z odbornej domácej a zahraničnej literatúry (vrátane odborných magazínov);</w:t>
      </w:r>
    </w:p>
    <w:p w:rsidR="00405E53" w:rsidRPr="00405E53" w:rsidRDefault="00405E53" w:rsidP="00405E53">
      <w:pPr>
        <w:numPr>
          <w:ilvl w:val="0"/>
          <w:numId w:val="45"/>
        </w:numPr>
        <w:spacing w:before="0"/>
      </w:pPr>
      <w:r w:rsidRPr="00405E53">
        <w:t>zákony;</w:t>
      </w:r>
    </w:p>
    <w:p w:rsidR="00405E53" w:rsidRPr="00405E53" w:rsidRDefault="00405E53" w:rsidP="00405E53">
      <w:pPr>
        <w:numPr>
          <w:ilvl w:val="0"/>
          <w:numId w:val="45"/>
        </w:numPr>
        <w:spacing w:before="0"/>
      </w:pPr>
      <w:r w:rsidRPr="00405E53">
        <w:t>údaje z oficiálnych internetových stránok Ústredného portálu verejnej správy v SR, Ministerstva vnútra SR a Štatistického úradu SR;</w:t>
      </w:r>
    </w:p>
    <w:p w:rsidR="00405E53" w:rsidRPr="00405E53" w:rsidRDefault="00405E53" w:rsidP="00405E53">
      <w:pPr>
        <w:numPr>
          <w:ilvl w:val="0"/>
          <w:numId w:val="45"/>
        </w:numPr>
        <w:spacing w:before="0"/>
      </w:pPr>
      <w:r w:rsidRPr="00405E53">
        <w:t>údaje od obvodných (živnostenských) úradoch a nami vybraného živnostníka.</w:t>
      </w:r>
    </w:p>
    <w:p w:rsidR="00405E53" w:rsidRPr="00405E53" w:rsidRDefault="00405E53" w:rsidP="00405E53">
      <w:pPr>
        <w:pStyle w:val="Nadpis2"/>
        <w:spacing w:before="0" w:after="0"/>
        <w:rPr>
          <w:rFonts w:ascii="Times New Roman" w:hAnsi="Times New Roman" w:cs="Times New Roman"/>
          <w:b w:val="0"/>
          <w:i w:val="0"/>
          <w:sz w:val="24"/>
        </w:rPr>
      </w:pPr>
      <w:r w:rsidRPr="00405E53">
        <w:rPr>
          <w:rFonts w:ascii="Times New Roman" w:hAnsi="Times New Roman" w:cs="Times New Roman"/>
          <w:b w:val="0"/>
          <w:i w:val="0"/>
          <w:sz w:val="24"/>
        </w:rPr>
        <w:t>Pri spracovávaní riešenia danej problematiky sme zvolili viaceré metódy a postupy. V diplomovej práci boli použité tieto nasledovné postupy:</w:t>
      </w:r>
    </w:p>
    <w:p w:rsidR="00405E53" w:rsidRPr="00405E53" w:rsidRDefault="00405E53" w:rsidP="00405E53">
      <w:pPr>
        <w:numPr>
          <w:ilvl w:val="0"/>
          <w:numId w:val="46"/>
        </w:numPr>
        <w:spacing w:before="0"/>
      </w:pPr>
      <w:r w:rsidRPr="00405E53">
        <w:t>analýza vybraných údajov - všeobecná analýza verejnej správy, jej organizačnej štruktúry, správneho konania a jeho následného aplikovania na úsek živnostenského podnikania, a analýza vybraného živnostníka;</w:t>
      </w:r>
    </w:p>
    <w:p w:rsidR="00405E53" w:rsidRPr="00405E53" w:rsidRDefault="00405E53" w:rsidP="00405E53">
      <w:pPr>
        <w:numPr>
          <w:ilvl w:val="0"/>
          <w:numId w:val="46"/>
        </w:numPr>
        <w:spacing w:before="0"/>
      </w:pPr>
      <w:r w:rsidRPr="00405E53">
        <w:t>syntéza údajov z literárnych zdrojov - skúmanie aplikácie správneho poriadku do živnostenského podnikania ako celku;</w:t>
      </w:r>
    </w:p>
    <w:p w:rsidR="00405E53" w:rsidRPr="00405E53" w:rsidRDefault="00405E53" w:rsidP="00405E53">
      <w:pPr>
        <w:numPr>
          <w:ilvl w:val="0"/>
          <w:numId w:val="46"/>
        </w:numPr>
        <w:spacing w:before="0"/>
      </w:pPr>
      <w:r w:rsidRPr="00405E53">
        <w:t>komparácia údajov - porovnanie vývoja živnostenského podnikania na území Slovenskej republiky a v jej jednotlivých oblastiach, ako aj počet vydaných rozhodnutí o vzniku, pozastaveniu či zániku živností;</w:t>
      </w:r>
    </w:p>
    <w:p w:rsidR="00405E53" w:rsidRPr="00344365" w:rsidRDefault="00405E53" w:rsidP="00405E53">
      <w:pPr>
        <w:numPr>
          <w:ilvl w:val="0"/>
          <w:numId w:val="46"/>
        </w:numPr>
        <w:spacing w:before="0"/>
      </w:pPr>
      <w:r w:rsidRPr="00405E53">
        <w:t xml:space="preserve">dedukcia - vysvetlenie prepojenosti medzi správou, verejnou správou a správnym konaním, až po vysvetlenie správy na úseku živnostenského </w:t>
      </w:r>
      <w:r>
        <w:t>podnikania</w:t>
      </w:r>
      <w:r w:rsidRPr="00344365">
        <w:t>;</w:t>
      </w:r>
    </w:p>
    <w:p w:rsidR="00D31A1F" w:rsidRDefault="00405E53" w:rsidP="00405E53">
      <w:pPr>
        <w:numPr>
          <w:ilvl w:val="0"/>
          <w:numId w:val="46"/>
        </w:numPr>
        <w:spacing w:before="0"/>
      </w:pPr>
      <w:r w:rsidRPr="00344365">
        <w:t xml:space="preserve">tabuľkové a grafické znázornenia </w:t>
      </w:r>
      <w:r>
        <w:t>-</w:t>
      </w:r>
      <w:r w:rsidRPr="00344365">
        <w:t xml:space="preserve"> prehľadné zobrazenie </w:t>
      </w:r>
      <w:r>
        <w:t>vývoja živnostenského podnikania v Slovenskej republike a jej jednotlivých oblastiach a počtu vydaných rozhodnutí zo strany obvodných (živnostenských) úradov.</w:t>
      </w:r>
    </w:p>
    <w:p w:rsidR="00D31A1F" w:rsidRDefault="00D31A1F" w:rsidP="00956A22">
      <w:pPr>
        <w:pStyle w:val="ZPNadpisKapitolyTimesNewRoman"/>
      </w:pPr>
      <w:r>
        <w:lastRenderedPageBreak/>
        <w:t>Výsledky práce</w:t>
      </w:r>
    </w:p>
    <w:p w:rsidR="00A727DA" w:rsidRPr="00CC7A6C" w:rsidRDefault="00CC7A6C" w:rsidP="00CF141A">
      <w:pPr>
        <w:pStyle w:val="ZPPodNadpisKapitolyTimesNewRoman"/>
      </w:pPr>
      <w:r w:rsidRPr="00CC7A6C">
        <w:t>Verejná správa a jej charakteristické črty</w:t>
      </w:r>
    </w:p>
    <w:p w:rsidR="004B170E" w:rsidRPr="004B170E" w:rsidRDefault="004B170E" w:rsidP="004B170E">
      <w:pPr>
        <w:pStyle w:val="Zkladntext"/>
        <w:spacing w:line="360" w:lineRule="auto"/>
        <w:ind w:firstLine="709"/>
      </w:pPr>
      <w:r w:rsidRPr="004B170E">
        <w:t xml:space="preserve">Východiskom pre definovanie verejnej správy je najmä objasnenie pojmu správa. Správou sa vo všeobecnosti rozumie zámerná a cieľavedomá činnosť, účelom ktorej je dosiahnutie, udržiavanie alebo rozvíjanie predmetu správy. Obsahom správy sú rôznorodé činnosti, tvorené jednotlivými úkonmi, ktoré musí správca vykonávať, aby dosiahol účel alebo zámer správy. Pre každé spravovanie pritom platí, že sa musí vykonávať v súlade s právom. Podľa obsahu a cieľov sa správa člení na verejnú a súkromnú správu. </w:t>
      </w:r>
    </w:p>
    <w:p w:rsidR="004B170E" w:rsidRPr="004B170E" w:rsidRDefault="004B170E" w:rsidP="004B170E">
      <w:pPr>
        <w:pStyle w:val="Zkladntext"/>
        <w:spacing w:line="360" w:lineRule="auto"/>
        <w:ind w:firstLine="709"/>
      </w:pPr>
      <w:r w:rsidRPr="004B170E">
        <w:t>Vo všeobecnosti môžeme verejnú správu charakterizovať ako správu vecí verejných, ktorej vykonávanie je vo verejnom záujme, t.j. v záujme všetkých obyvateľov. Z dôvodu rôznorodosti a mnohostrannosti obsahu verejnej správy je potrebné stanoviť subjekt verejnej správy a rozsah jeho kompetencií, ako aj určiť podmienky, za akých sa bude zabezpečovať výkon verejnej správy. Výkon verejnej správy by mal byť ponímaný ako služba občanom, ktorí delegovali riadenie verejnej správy a spravovanie jej jednotlivých úloh na svojich zástupcov. Subjekty resp. orgány verejnej správy, podliehajúce verejnej kontrole, preto sústreďujú svoju pozornosť na efektívne vytváranie verejných statkov a služieb, ktoré sú financované z verejných zdrojov. Pri výkone verejnej správy sa dostávajú do vzájomných vzťahoch:</w:t>
      </w:r>
    </w:p>
    <w:p w:rsidR="004B170E" w:rsidRPr="004B170E" w:rsidRDefault="004B170E" w:rsidP="004B170E">
      <w:pPr>
        <w:pStyle w:val="Zkladntext"/>
        <w:numPr>
          <w:ilvl w:val="0"/>
          <w:numId w:val="47"/>
        </w:numPr>
        <w:spacing w:line="360" w:lineRule="auto"/>
      </w:pPr>
      <w:r w:rsidRPr="004B170E">
        <w:t>objekt verejnej správy - ten, ktorý je cieľom verejnej správy (obyvatelia krajiny alebo určitého územia, skupiny obyvateľov);</w:t>
      </w:r>
    </w:p>
    <w:p w:rsidR="004B170E" w:rsidRPr="004B170E" w:rsidRDefault="004B170E" w:rsidP="004B170E">
      <w:pPr>
        <w:pStyle w:val="Zkladntext"/>
        <w:numPr>
          <w:ilvl w:val="0"/>
          <w:numId w:val="47"/>
        </w:numPr>
        <w:spacing w:line="360" w:lineRule="auto"/>
      </w:pPr>
      <w:r w:rsidRPr="004B170E">
        <w:t xml:space="preserve">subjekt resp. orgán verejnej správy - ten, ktorý vykonáva verejnú správu (štátna správa, samospráva, verejno-právne korporácie).  </w:t>
      </w:r>
    </w:p>
    <w:p w:rsidR="00CC7A6C" w:rsidRPr="00CC7A6C" w:rsidRDefault="004B170E" w:rsidP="004B170E">
      <w:pPr>
        <w:pStyle w:val="Zkladntext"/>
        <w:spacing w:line="360" w:lineRule="auto"/>
        <w:ind w:firstLine="720"/>
      </w:pPr>
      <w:r w:rsidRPr="004B170E">
        <w:t>Od roku 1990 sa na Slovensku uplatňuje tzv. duálny (oddelený) model verejnej správy, ktorý je charakteristický inštitucionálnym, funkčným a finančným oddelením štátnej správy a samosprávy, čo však nevylučuje ich vzájomnú koordináciu pri dosahovaní verejného záujmu (vývoj jednej zložky je podmieňovaný a ovplyvňovaný druhou).</w:t>
      </w:r>
    </w:p>
    <w:p w:rsidR="00CC7A6C" w:rsidRDefault="00CC7A6C" w:rsidP="00956A22">
      <w:pPr>
        <w:pStyle w:val="ZPNormalnyText"/>
        <w:rPr>
          <w:highlight w:val="lightGray"/>
        </w:rPr>
      </w:pPr>
    </w:p>
    <w:p w:rsidR="00B64B41" w:rsidRPr="00893570" w:rsidRDefault="004B170E" w:rsidP="00472F63">
      <w:pPr>
        <w:pStyle w:val="ZPPodNadpis3urovenTimesNewRoman"/>
      </w:pPr>
      <w:r>
        <w:lastRenderedPageBreak/>
        <w:t>Reformy verejnej správy v Slovenskej republike</w:t>
      </w:r>
      <w:r w:rsidR="00B64B41" w:rsidRPr="00893570">
        <w:t xml:space="preserve"> </w:t>
      </w:r>
    </w:p>
    <w:p w:rsidR="00B64B41" w:rsidRPr="00B64B41" w:rsidRDefault="004B170E" w:rsidP="004B170E">
      <w:pPr>
        <w:pStyle w:val="Zkladntext"/>
        <w:spacing w:line="360" w:lineRule="auto"/>
        <w:ind w:firstLine="720"/>
      </w:pPr>
      <w:r w:rsidRPr="00344365">
        <w:t>Reforma verejnej správy je proces, ktorý nielenže musí rešpektovať históriu vývoja určitého štátu, jeho charakter a potenciál, ale aj prispôsobovať sa predpokladaným zmenám a trendom vývoja spoločnosti vo svete. Ich nerešpektovanie môže mať za následok zaostávanie, prehlbovanie rozdielov kvality životnej úrovne obyvateľstva až stratu nezávislosti krajiny a národnej identity. Cieľom reforiem v oblasti verejnej správy je teda harmonizácia legislatívy Slovenskej republiky s legislatívou EÚ, ako aj presun maximálne možného rozsahu kompetencií na obce a samosprávne kraje, zabezpečenie efektívneho výkonu ich kompetencií, zavádzanie nového systému financovania územnej samosprávy. Proces reforiem verejnej správy v podmienkach Slovenskej republiky môžeme rozdeliť do niekoľkých etáp.</w:t>
      </w:r>
    </w:p>
    <w:p w:rsidR="00B64B41" w:rsidRDefault="00B64B41" w:rsidP="00956A22">
      <w:pPr>
        <w:pStyle w:val="ZPNormalnyText"/>
        <w:rPr>
          <w:highlight w:val="lightGray"/>
        </w:rPr>
      </w:pPr>
    </w:p>
    <w:p w:rsidR="004B170E" w:rsidRPr="00A87163" w:rsidRDefault="004B170E" w:rsidP="004B170E">
      <w:pPr>
        <w:rPr>
          <w:b/>
        </w:rPr>
      </w:pPr>
      <w:r w:rsidRPr="00A87163">
        <w:rPr>
          <w:b/>
        </w:rPr>
        <w:t>I. etapa (roky 1990-1996)</w:t>
      </w:r>
    </w:p>
    <w:p w:rsidR="004B170E" w:rsidRDefault="004B170E" w:rsidP="004B170E">
      <w:pPr>
        <w:ind w:firstLine="720"/>
      </w:pPr>
      <w:r w:rsidRPr="00A87163">
        <w:t>Za začiatok reformného procesu verejnej správy v Slovenskej republike možno považovať rok 1990, ktorý sa zameral najmä na decentralizáciu (v rámci ktorej prešla zodpovednosť za mnohé služby zo štátnej správy na samosprávu), administratívnu reformu a reformu územno-správneho členenia. Jedným z najdôležitejších krokov bolo prijatie zákona č. 369/1990 Zb. o obecnom zriadení, ktorý napomohol k formovaniu duálneho modelu verejnej správy na Slovensku, vytvorila sa totiž územná samospráva a jej orgány na miestnej úrovni. Zákon č. 472/1990 Zb. o organizácii miestnej štátnej správy zrušil národné výbory a vytvoril špecializované miestne orgány štátnej správy na úrovni obvodov a okresov. V podsystéme štátnej správy prišlo teda k dekoncentrácii jej výkonu: základný stupeň štátnej správy začalo reprezentovať 121 obvodov a obvodných úradov, na druhom stupni začalo vykonávať štátnu správu 38 okresov a okresných úradov, a krajská štruktúra štátnej správy bola zrušená. V tomto období sa začal uplatňovať tzv. model špecializovanej štátnej správy.</w:t>
      </w:r>
    </w:p>
    <w:p w:rsidR="004B170E" w:rsidRDefault="004B170E" w:rsidP="004B170E"/>
    <w:p w:rsidR="004B170E" w:rsidRPr="00A87163" w:rsidRDefault="004B170E" w:rsidP="004B170E">
      <w:pPr>
        <w:rPr>
          <w:b/>
        </w:rPr>
      </w:pPr>
      <w:r w:rsidRPr="00A87163">
        <w:rPr>
          <w:b/>
        </w:rPr>
        <w:t>II. etapa (roky 1996-2000)</w:t>
      </w:r>
    </w:p>
    <w:p w:rsidR="004B170E" w:rsidRDefault="004B170E" w:rsidP="004B170E">
      <w:pPr>
        <w:ind w:firstLine="720"/>
      </w:pPr>
      <w:r w:rsidRPr="00344365">
        <w:t xml:space="preserve">Transformácia verejnej správy na Slovensku pokračovala prijatím dvoch právnych noriem, na základe ktorých bol model špecializovanej štátnej správy nahradený tzv. modelom všeobecnej štátnej správy. Zákonom 222/1996 Z. z. o organizácii miestnej štátnej správy sa zrušila sústava obvodov a obvodných úradov a vznikli väčšie administratívne celky na úrovni 79 okresov a 8 krajov. </w:t>
      </w:r>
      <w:r>
        <w:t xml:space="preserve">                   </w:t>
      </w:r>
      <w:r w:rsidRPr="00344365">
        <w:lastRenderedPageBreak/>
        <w:t>Zákon č. 221/1996 Z. z. o územnom a správnom usporiadaní Slovenskej republiky rozhodol o symetrickom usporiadaní miestnej štátnej správy a druhej úrovne miestnej samosprávy na úrovni kraja. Podľa tohto zákona sa Slovenská republika členila na kraje (regionálna úroveň štátnej správy), kraje sa ďalej členili na okresy a okresy na obce (samospráva na miestnej úrovni) a vojenské obvody.</w:t>
      </w:r>
    </w:p>
    <w:p w:rsidR="004B170E" w:rsidRDefault="004B170E" w:rsidP="004B170E"/>
    <w:p w:rsidR="004B170E" w:rsidRPr="00A87163" w:rsidRDefault="004B170E" w:rsidP="004B170E">
      <w:pPr>
        <w:pStyle w:val="Zkladntext"/>
        <w:spacing w:line="360" w:lineRule="auto"/>
        <w:contextualSpacing/>
        <w:rPr>
          <w:b/>
        </w:rPr>
      </w:pPr>
      <w:r w:rsidRPr="00A87163">
        <w:rPr>
          <w:b/>
        </w:rPr>
        <w:t>III. etapa (roky 2000-2004)</w:t>
      </w:r>
    </w:p>
    <w:p w:rsidR="004B170E" w:rsidRDefault="004B170E" w:rsidP="004B170E">
      <w:pPr>
        <w:pStyle w:val="Zarkazkladnhotextu"/>
        <w:autoSpaceDE w:val="0"/>
        <w:autoSpaceDN w:val="0"/>
        <w:adjustRightInd w:val="0"/>
        <w:ind w:left="0" w:firstLine="720"/>
        <w:contextualSpacing/>
      </w:pPr>
      <w:r w:rsidRPr="00344365">
        <w:t>V roku 2000 bola vládou Slovenskej republiky schválená Koncepcia decentralizácie a modernizácie verejnej správy, v zmysle ktorej sa realizovala ďalšia etapa reformy verejnej správy. Zákonom č. 302/2001 Z.z. o samospráve vyšších územných celkov bola vytvorením 8 samosprávnych územných celkov zriadená regionálna samospráva. Prijatím tohto zákona, ako aj zákona č. 416/2001 Z.z. o prechode niektorých pôsobností z orgánov štátnej správy na obce a vyššie územné celky sa začal postupne realizovať proces decentralizácie kompetencií. Meniť sa začala aj organizačná štruktúra štátnej správy. Dochádza k dekoncentrácií kompetencií v rámci jej orgánov, s ktorou je prepojený zánik okresných úradov štátnej správy na úrovni obvodov so všeobecnou pôsobnosťou (zákon č. 515/2003 Z.z. o krajských úradoch a obvodných úradoch).</w:t>
      </w:r>
    </w:p>
    <w:p w:rsidR="004B170E" w:rsidRDefault="004B170E" w:rsidP="004B170E">
      <w:pPr>
        <w:pStyle w:val="Zarkazkladnhotextu"/>
        <w:autoSpaceDE w:val="0"/>
        <w:autoSpaceDN w:val="0"/>
        <w:adjustRightInd w:val="0"/>
        <w:ind w:left="0"/>
        <w:contextualSpacing/>
      </w:pPr>
    </w:p>
    <w:p w:rsidR="004B170E" w:rsidRPr="00344365" w:rsidRDefault="004B170E" w:rsidP="004B170E">
      <w:pPr>
        <w:contextualSpacing/>
        <w:rPr>
          <w:b/>
        </w:rPr>
      </w:pPr>
      <w:r w:rsidRPr="00344365">
        <w:rPr>
          <w:b/>
        </w:rPr>
        <w:t>IV. etapa (roky 2004-doteraz)</w:t>
      </w:r>
    </w:p>
    <w:p w:rsidR="004B170E" w:rsidRDefault="004B170E" w:rsidP="004B170E">
      <w:pPr>
        <w:pStyle w:val="ZPNormalnyText"/>
        <w:rPr>
          <w:highlight w:val="lightGray"/>
        </w:rPr>
      </w:pPr>
      <w:r>
        <w:tab/>
      </w:r>
      <w:r w:rsidRPr="00A87163">
        <w:t>Po roku 2004 prišlo k reforme všeobecnej štátnej správy a jej opätovnej zmene na špecializovanú štátnu správu. Zrušením všetkých okresných úradov a transformáciou krajských úradov k 1.januáru 2004 integrovaná štátna správa zanikla</w:t>
      </w:r>
      <w:r w:rsidRPr="00A87163">
        <w:rPr>
          <w:color w:val="FF0000"/>
        </w:rPr>
        <w:t>.</w:t>
      </w:r>
      <w:r w:rsidRPr="00A87163">
        <w:t xml:space="preserve"> Zákon č. 254/2007 Z.z. o zrušení krajských úradov umožnil zrušenie krajských úradov a presun ich pôsobnosti na obvodné úrady a ministerstvá. To znamená, že od 1.októbra 2007 v Slovenskej republike tvoria miestnu štátnu správu len obvodné úrady. Krajské špecializované úrady zostali zatiaľ zachované. Od roku 2005 sa pozornosť sústreďuje aj na reformu v oblasti verejných financií.</w:t>
      </w:r>
    </w:p>
    <w:p w:rsidR="004B170E" w:rsidRDefault="004B170E" w:rsidP="00956A22">
      <w:pPr>
        <w:pStyle w:val="ZPNormalnyText"/>
        <w:rPr>
          <w:highlight w:val="lightGray"/>
        </w:rPr>
      </w:pPr>
    </w:p>
    <w:p w:rsidR="00224A83" w:rsidRDefault="00224A83" w:rsidP="00317741">
      <w:pPr>
        <w:pStyle w:val="ZPPodNadpis3urovenTimesNewRoman"/>
        <w:numPr>
          <w:ilvl w:val="0"/>
          <w:numId w:val="0"/>
        </w:numPr>
        <w:ind w:left="720" w:hanging="720"/>
      </w:pPr>
    </w:p>
    <w:p w:rsidR="00A87163" w:rsidRDefault="00224A83" w:rsidP="00A87163">
      <w:r>
        <w:tab/>
      </w:r>
      <w:r w:rsidR="00A87163">
        <w:t xml:space="preserve"> </w:t>
      </w:r>
    </w:p>
    <w:p w:rsidR="00A87163" w:rsidRDefault="00A87163" w:rsidP="00A87163"/>
    <w:p w:rsidR="00D43D1E" w:rsidRPr="00CC7A6C" w:rsidRDefault="00D43D1E" w:rsidP="00CF141A">
      <w:pPr>
        <w:pStyle w:val="ZPPodNadpisKapitolyTimesNewRoman"/>
      </w:pPr>
      <w:r w:rsidRPr="00344365">
        <w:lastRenderedPageBreak/>
        <w:t>Organizačná štruktúra verejnej správy v Slovenskej republike</w:t>
      </w:r>
    </w:p>
    <w:p w:rsidR="003C25D3" w:rsidRPr="003C25D3" w:rsidRDefault="003C25D3" w:rsidP="003C25D3">
      <w:pPr>
        <w:pStyle w:val="Zkladntext"/>
        <w:spacing w:line="360" w:lineRule="auto"/>
        <w:ind w:firstLine="708"/>
      </w:pPr>
      <w:r w:rsidRPr="003C25D3">
        <w:t>Verejnú správu v SR môžeme z hľadiska jej organizácie a centralizácie rozdeliť</w:t>
      </w:r>
      <w:r>
        <w:t>:</w:t>
      </w:r>
      <w:r w:rsidRPr="003C25D3">
        <w:t xml:space="preserve"> </w:t>
      </w:r>
    </w:p>
    <w:p w:rsidR="003C25D3" w:rsidRPr="003C25D3" w:rsidRDefault="003C25D3" w:rsidP="00B560E4">
      <w:pPr>
        <w:pStyle w:val="Zkladntext"/>
        <w:numPr>
          <w:ilvl w:val="0"/>
          <w:numId w:val="48"/>
        </w:numPr>
        <w:spacing w:line="360" w:lineRule="auto"/>
      </w:pPr>
      <w:r>
        <w:t>Štátna</w:t>
      </w:r>
      <w:r w:rsidRPr="003C25D3">
        <w:t xml:space="preserve"> správ</w:t>
      </w:r>
      <w:r>
        <w:t>a</w:t>
      </w:r>
      <w:r w:rsidRPr="003C25D3">
        <w:t xml:space="preserve"> - predstavuje organizačnú činnosť štátu, ktorá má predovšetkým nariaďovací a výkonný charakter, pričom zameranie ako aj hlavné prostriedky na dosiahnutie cieľov správy jej určuje zákon. Štát ako subjekt verejnej správy je nositeľom verejných práv a povinností, no sám ich však nevykonáva, a preto si na tento účel v oblasti štátnej správy zriaďuje orgány. Výkonom štátnej správy sa zabezpečuje realizácia vnútorných a vonkajších funkcií štátu, pričom prevažnú časť týchto úloh v mene štátu a za pomoci donucovacej moci plnia hierarchicky usporiadané orgány štátnej správy, v rámci ktorého má nadriadený orgán v súlade s platným právnym stavom právo ovplyvňovať podriadené správne orgány.</w:t>
      </w:r>
    </w:p>
    <w:p w:rsidR="003C25D3" w:rsidRPr="003C25D3" w:rsidRDefault="003C25D3" w:rsidP="00B560E4">
      <w:pPr>
        <w:pStyle w:val="Zkladntext"/>
        <w:numPr>
          <w:ilvl w:val="0"/>
          <w:numId w:val="49"/>
        </w:numPr>
        <w:spacing w:line="360" w:lineRule="auto"/>
      </w:pPr>
      <w:r w:rsidRPr="003C25D3">
        <w:t xml:space="preserve">ústredná </w:t>
      </w:r>
    </w:p>
    <w:p w:rsidR="003C25D3" w:rsidRPr="003C25D3" w:rsidRDefault="003C25D3" w:rsidP="00B560E4">
      <w:pPr>
        <w:pStyle w:val="Zkladntext"/>
        <w:numPr>
          <w:ilvl w:val="0"/>
          <w:numId w:val="49"/>
        </w:numPr>
        <w:spacing w:line="360" w:lineRule="auto"/>
      </w:pPr>
      <w:r w:rsidRPr="003C25D3">
        <w:t xml:space="preserve">miestna </w:t>
      </w:r>
    </w:p>
    <w:p w:rsidR="003C25D3" w:rsidRPr="003C25D3" w:rsidRDefault="003C25D3" w:rsidP="00B560E4">
      <w:pPr>
        <w:pStyle w:val="Zkladntext"/>
        <w:numPr>
          <w:ilvl w:val="0"/>
          <w:numId w:val="48"/>
        </w:numPr>
        <w:spacing w:line="360" w:lineRule="auto"/>
      </w:pPr>
      <w:r w:rsidRPr="003C25D3">
        <w:t>Samospráv</w:t>
      </w:r>
      <w:r>
        <w:t>a</w:t>
      </w:r>
      <w:r w:rsidRPr="003C25D3">
        <w:t xml:space="preserve"> - charakteristickými znakmi samosprávy, ktorá je vybudovaná na princípe decentralizácie a je relatívne nezávislá od ústredných orgánov štátnej správy, sú demokratický výkon moci občanmi prostredníctvom svojich volených zástupcov, územná autonómia výkonu moci, samosprávna zodpovednosť a kombinácia samosprávnych a štátoprávnych funkcií.</w:t>
      </w:r>
    </w:p>
    <w:p w:rsidR="003C25D3" w:rsidRPr="003C25D3" w:rsidRDefault="003C25D3" w:rsidP="00B560E4">
      <w:pPr>
        <w:pStyle w:val="Zkladntext"/>
        <w:numPr>
          <w:ilvl w:val="0"/>
          <w:numId w:val="50"/>
        </w:numPr>
        <w:spacing w:line="360" w:lineRule="auto"/>
      </w:pPr>
      <w:r w:rsidRPr="003C25D3">
        <w:t xml:space="preserve">územná  </w:t>
      </w:r>
    </w:p>
    <w:p w:rsidR="003C25D3" w:rsidRPr="003C25D3" w:rsidRDefault="003C25D3" w:rsidP="00B560E4">
      <w:pPr>
        <w:pStyle w:val="Zkladntext"/>
        <w:numPr>
          <w:ilvl w:val="0"/>
          <w:numId w:val="50"/>
        </w:numPr>
        <w:spacing w:line="360" w:lineRule="auto"/>
      </w:pPr>
      <w:r w:rsidRPr="003C25D3">
        <w:t xml:space="preserve">záujmová  </w:t>
      </w:r>
    </w:p>
    <w:p w:rsidR="00D43D1E" w:rsidRDefault="003C25D3" w:rsidP="00B560E4">
      <w:pPr>
        <w:pStyle w:val="Zarkazkladnhotextu"/>
        <w:numPr>
          <w:ilvl w:val="0"/>
          <w:numId w:val="48"/>
        </w:numPr>
        <w:autoSpaceDE w:val="0"/>
        <w:autoSpaceDN w:val="0"/>
        <w:adjustRightInd w:val="0"/>
        <w:contextualSpacing/>
      </w:pPr>
      <w:r w:rsidRPr="003C25D3">
        <w:t>Verejno-právne korporácie - sú ako neštátne inštitúcie (napr. Slovenská televízia, Slovenský rozhlas, Slovenská národná galéria, Matica slovenská či Národná banka Slovenska) zriadené za účelom sledovania určitého účelu, popri svojom hlavnom poslaní však plnia aj niektoré verejno-právne funkcie. Zväčša sú zákonom zriadené, čiastočne financované zo štátnych prostriedkov a vo svojej činnosti podliehajú štátnemu dozoru.</w:t>
      </w:r>
    </w:p>
    <w:p w:rsidR="00D43D1E" w:rsidRDefault="00D43D1E" w:rsidP="00D43D1E">
      <w:pPr>
        <w:pStyle w:val="Zarkazkladnhotextu"/>
        <w:autoSpaceDE w:val="0"/>
        <w:autoSpaceDN w:val="0"/>
        <w:adjustRightInd w:val="0"/>
        <w:ind w:left="0"/>
        <w:contextualSpacing/>
      </w:pPr>
    </w:p>
    <w:p w:rsidR="00FB319B" w:rsidRDefault="00FB319B" w:rsidP="00D43D1E">
      <w:pPr>
        <w:pStyle w:val="Zarkazkladnhotextu"/>
        <w:autoSpaceDE w:val="0"/>
        <w:autoSpaceDN w:val="0"/>
        <w:adjustRightInd w:val="0"/>
        <w:ind w:left="0"/>
        <w:contextualSpacing/>
      </w:pPr>
    </w:p>
    <w:p w:rsidR="00FB319B" w:rsidRDefault="00FB319B" w:rsidP="00D43D1E">
      <w:pPr>
        <w:pStyle w:val="Zarkazkladnhotextu"/>
        <w:autoSpaceDE w:val="0"/>
        <w:autoSpaceDN w:val="0"/>
        <w:adjustRightInd w:val="0"/>
        <w:ind w:left="0"/>
        <w:contextualSpacing/>
      </w:pPr>
    </w:p>
    <w:p w:rsidR="00FB319B" w:rsidRDefault="00FB319B" w:rsidP="00D43D1E">
      <w:pPr>
        <w:pStyle w:val="Zarkazkladnhotextu"/>
        <w:autoSpaceDE w:val="0"/>
        <w:autoSpaceDN w:val="0"/>
        <w:adjustRightInd w:val="0"/>
        <w:ind w:left="0"/>
        <w:contextualSpacing/>
      </w:pPr>
    </w:p>
    <w:p w:rsidR="00597443" w:rsidRDefault="009429C0" w:rsidP="00472F63">
      <w:pPr>
        <w:pStyle w:val="ZPPodNadpis3urovenTimesNewRoman"/>
      </w:pPr>
      <w:r>
        <w:lastRenderedPageBreak/>
        <w:t>Ústrená š</w:t>
      </w:r>
      <w:r w:rsidR="00597443" w:rsidRPr="00344365">
        <w:t>tátna správa</w:t>
      </w:r>
    </w:p>
    <w:p w:rsidR="009429C0" w:rsidRPr="009429C0" w:rsidRDefault="009429C0" w:rsidP="009429C0">
      <w:pPr>
        <w:pStyle w:val="Zkladntext"/>
        <w:spacing w:line="360" w:lineRule="auto"/>
        <w:ind w:firstLine="708"/>
      </w:pPr>
      <w:r w:rsidRPr="009429C0">
        <w:t xml:space="preserve">Organizácia štátnej správy na centrálnej úrovni je tvorená vládou a ústrednými orgánmi štátnej správy, ktorých pôsobnosť je upravovaná predovšetkým zákonom </w:t>
      </w:r>
      <w:r w:rsidR="004B17C8">
        <w:t xml:space="preserve">       </w:t>
      </w:r>
      <w:r w:rsidRPr="009429C0">
        <w:t xml:space="preserve">č. 575/2001 Z.z. o organizácii činnosti vlády a organizácií ústrednej štátnej správy. </w:t>
      </w:r>
      <w:r w:rsidR="00FB319B">
        <w:t xml:space="preserve">   </w:t>
      </w:r>
      <w:r w:rsidRPr="009429C0">
        <w:t xml:space="preserve">Ich hlavná úloha spočíva vo vykonávaní štátnej správy a zabezpečovaní jej výkonu na celom území SR. </w:t>
      </w:r>
    </w:p>
    <w:p w:rsidR="009429C0" w:rsidRPr="009429C0" w:rsidRDefault="009429C0" w:rsidP="009429C0">
      <w:pPr>
        <w:pStyle w:val="Zkladntext"/>
        <w:spacing w:line="360" w:lineRule="auto"/>
        <w:ind w:firstLine="708"/>
      </w:pPr>
      <w:r w:rsidRPr="009429C0">
        <w:t xml:space="preserve">Vláda, považovaná za riadiaci prvok systému štátnej správy, zabezpečuje ako vrcholný orgán výkonnej moci prostredníctvom svojej normotvornej činnosti úlohy v oblasti zahraničnej, hospodárskej a bezpečnostnej politiky, súdnictva, väzenstva, cestnej dopravy (diaľnice, cesty I. triedy), železníc, daní (okrem miestnych daní a poplatkov), vysokého školstva, zamestnanosti, zdravotníctva a sociálnych vecí či ochrany životného prostredia. Podľa zloženia a spôsobu rozhodovania je vláda kolegiálnym orgánom, tvorená z predsedu, podpredsedov a ministrov, ktorých vymenováva ako aj odvoláva prezident SR. Pre organizačné, technické a odborné zabezpečenie činností vlády sa zriaďuje Úrad vlády, ktorý nemá rozhodovacie právomoci, avšak je ústredným orgánom štátnej správy pre výkon kontroly. Na plnenie konkrétnych (koordinačných, konzultatívnych a odborných) úloh sú vytvorené poradné orgány vlády (napr. Legislatívna rada SR či Hospodárska rada SR), ktorých návrhy majú len odporúčací charakter. </w:t>
      </w:r>
    </w:p>
    <w:p w:rsidR="009429C0" w:rsidRPr="009429C0" w:rsidRDefault="009429C0" w:rsidP="009429C0">
      <w:pPr>
        <w:pStyle w:val="Zkladntext"/>
        <w:spacing w:line="360" w:lineRule="auto"/>
        <w:ind w:firstLine="708"/>
      </w:pPr>
      <w:r w:rsidRPr="009429C0">
        <w:t>Ministerstvá, monokratické orgány s čiastočnou vecnou a územne celoštátnou pôsobnosťou vo veciach štátnej správy, sú organizačnými jednotkami vnútorne sa členiacimi na sekcie a odbory, ktoré po odbornej stránke usmerňujú činnosť podriadených orgánov a organizácií, kontrolujú a vykonávajú rozbory ich aktivít, navrhujú opatrenia na odstránenie prípadných nedostatkov a na úseku svojej pôsobnosti vydávajú metodické návody. Sú riadené ministrami, ktorí sa za ich vedenie a činnosť zodpovedajú vláde a Národnej rade SR. Pod ich vedením, kontrolou a zodpovednosťou sú vydávané všeobecne záväzné právne predpisy - vyhlášky, publikované v Zbierke zákonov SR. V čase neprítomnosti ministrov ich v rozsahu práv a povinností zastupujú štátni tajomníci, majúci na rokovaní vlády poradný hlas. Podľa už zmieneného zákona č. 575/2001 Z.z. o organizácii činnosti vlády a organizácií ústrednej štátnej správy pôsobí v SR 14 ministerstiev:</w:t>
      </w:r>
    </w:p>
    <w:p w:rsidR="009429C0" w:rsidRPr="009429C0" w:rsidRDefault="009429C0" w:rsidP="00B560E4">
      <w:pPr>
        <w:pStyle w:val="Zkladntext"/>
        <w:numPr>
          <w:ilvl w:val="0"/>
          <w:numId w:val="51"/>
        </w:numPr>
        <w:spacing w:line="360" w:lineRule="auto"/>
      </w:pPr>
      <w:r w:rsidRPr="009429C0">
        <w:t>Ministerstvo zahraničných vecí SR</w:t>
      </w:r>
      <w:r w:rsidRPr="009429C0">
        <w:rPr>
          <w:lang w:val="en-US"/>
        </w:rPr>
        <w:t>;</w:t>
      </w:r>
    </w:p>
    <w:p w:rsidR="009429C0" w:rsidRPr="009429C0" w:rsidRDefault="009429C0" w:rsidP="00B560E4">
      <w:pPr>
        <w:pStyle w:val="Zkladntext"/>
        <w:numPr>
          <w:ilvl w:val="0"/>
          <w:numId w:val="51"/>
        </w:numPr>
        <w:spacing w:line="360" w:lineRule="auto"/>
      </w:pPr>
      <w:r w:rsidRPr="009429C0">
        <w:t>Ministerstvo obrany SR;</w:t>
      </w:r>
    </w:p>
    <w:p w:rsidR="009429C0" w:rsidRPr="009429C0" w:rsidRDefault="009429C0" w:rsidP="00B560E4">
      <w:pPr>
        <w:pStyle w:val="Zkladntext"/>
        <w:numPr>
          <w:ilvl w:val="0"/>
          <w:numId w:val="51"/>
        </w:numPr>
        <w:spacing w:line="360" w:lineRule="auto"/>
      </w:pPr>
      <w:r w:rsidRPr="009429C0">
        <w:t>Ministerstvo vnútra SR;</w:t>
      </w:r>
    </w:p>
    <w:p w:rsidR="009429C0" w:rsidRPr="009429C0" w:rsidRDefault="009429C0" w:rsidP="00B560E4">
      <w:pPr>
        <w:pStyle w:val="Zkladntext"/>
        <w:numPr>
          <w:ilvl w:val="0"/>
          <w:numId w:val="51"/>
        </w:numPr>
        <w:spacing w:line="360" w:lineRule="auto"/>
      </w:pPr>
      <w:r w:rsidRPr="009429C0">
        <w:lastRenderedPageBreak/>
        <w:t>Ministerstvo spravodlivosti SR;</w:t>
      </w:r>
    </w:p>
    <w:p w:rsidR="009429C0" w:rsidRPr="009429C0" w:rsidRDefault="009429C0" w:rsidP="00B560E4">
      <w:pPr>
        <w:pStyle w:val="Zkladntext"/>
        <w:numPr>
          <w:ilvl w:val="0"/>
          <w:numId w:val="51"/>
        </w:numPr>
        <w:spacing w:line="360" w:lineRule="auto"/>
      </w:pPr>
      <w:r w:rsidRPr="009429C0">
        <w:t>Ministerstvo financií SR;</w:t>
      </w:r>
    </w:p>
    <w:p w:rsidR="009429C0" w:rsidRPr="009429C0" w:rsidRDefault="009429C0" w:rsidP="00B560E4">
      <w:pPr>
        <w:pStyle w:val="Zkladntext"/>
        <w:numPr>
          <w:ilvl w:val="0"/>
          <w:numId w:val="51"/>
        </w:numPr>
        <w:spacing w:line="360" w:lineRule="auto"/>
      </w:pPr>
      <w:r w:rsidRPr="009429C0">
        <w:t>Ministerstvo dopravy, pôšt a telekomunikácií SR;</w:t>
      </w:r>
    </w:p>
    <w:p w:rsidR="009429C0" w:rsidRPr="009429C0" w:rsidRDefault="009429C0" w:rsidP="00B560E4">
      <w:pPr>
        <w:pStyle w:val="Zkladntext"/>
        <w:numPr>
          <w:ilvl w:val="0"/>
          <w:numId w:val="51"/>
        </w:numPr>
        <w:spacing w:line="360" w:lineRule="auto"/>
      </w:pPr>
      <w:r w:rsidRPr="009429C0">
        <w:t>Ministerstvo výstavby a regionálneho rozvoja SR;</w:t>
      </w:r>
    </w:p>
    <w:p w:rsidR="009429C0" w:rsidRPr="009429C0" w:rsidRDefault="009429C0" w:rsidP="00B560E4">
      <w:pPr>
        <w:pStyle w:val="Zkladntext"/>
        <w:numPr>
          <w:ilvl w:val="0"/>
          <w:numId w:val="51"/>
        </w:numPr>
        <w:spacing w:line="360" w:lineRule="auto"/>
      </w:pPr>
      <w:r w:rsidRPr="009429C0">
        <w:t>Ministerstvo pôdohospodárstva SR</w:t>
      </w:r>
      <w:r w:rsidRPr="009429C0">
        <w:rPr>
          <w:lang w:val="en-US"/>
        </w:rPr>
        <w:t>;</w:t>
      </w:r>
    </w:p>
    <w:p w:rsidR="009429C0" w:rsidRPr="009429C0" w:rsidRDefault="009429C0" w:rsidP="00B560E4">
      <w:pPr>
        <w:pStyle w:val="Zkladntext"/>
        <w:numPr>
          <w:ilvl w:val="0"/>
          <w:numId w:val="51"/>
        </w:numPr>
        <w:spacing w:line="360" w:lineRule="auto"/>
      </w:pPr>
      <w:r w:rsidRPr="009429C0">
        <w:t>Ministerstvo hospodárstva SR;</w:t>
      </w:r>
    </w:p>
    <w:p w:rsidR="009429C0" w:rsidRPr="009429C0" w:rsidRDefault="009429C0" w:rsidP="00B560E4">
      <w:pPr>
        <w:pStyle w:val="Zkladntext"/>
        <w:numPr>
          <w:ilvl w:val="0"/>
          <w:numId w:val="51"/>
        </w:numPr>
        <w:spacing w:line="360" w:lineRule="auto"/>
      </w:pPr>
      <w:r w:rsidRPr="009429C0">
        <w:t>Ministerstvo práce, sociálnych vecí a rodiny SR;</w:t>
      </w:r>
    </w:p>
    <w:p w:rsidR="009429C0" w:rsidRPr="009429C0" w:rsidRDefault="009429C0" w:rsidP="00B560E4">
      <w:pPr>
        <w:pStyle w:val="Zkladntext"/>
        <w:numPr>
          <w:ilvl w:val="0"/>
          <w:numId w:val="51"/>
        </w:numPr>
        <w:spacing w:line="360" w:lineRule="auto"/>
      </w:pPr>
      <w:r w:rsidRPr="009429C0">
        <w:t>Ministerstvo zdravotníctva SR;</w:t>
      </w:r>
    </w:p>
    <w:p w:rsidR="009429C0" w:rsidRPr="009429C0" w:rsidRDefault="009429C0" w:rsidP="00B560E4">
      <w:pPr>
        <w:pStyle w:val="Zkladntext"/>
        <w:numPr>
          <w:ilvl w:val="0"/>
          <w:numId w:val="51"/>
        </w:numPr>
        <w:spacing w:line="360" w:lineRule="auto"/>
      </w:pPr>
      <w:r w:rsidRPr="009429C0">
        <w:t>Ministerstvo školstva SR;</w:t>
      </w:r>
    </w:p>
    <w:p w:rsidR="009429C0" w:rsidRPr="009429C0" w:rsidRDefault="009429C0" w:rsidP="00B560E4">
      <w:pPr>
        <w:pStyle w:val="Zkladntext"/>
        <w:numPr>
          <w:ilvl w:val="0"/>
          <w:numId w:val="51"/>
        </w:numPr>
        <w:spacing w:line="360" w:lineRule="auto"/>
      </w:pPr>
      <w:r w:rsidRPr="009429C0">
        <w:t>Ministerstvo kultúry SR;</w:t>
      </w:r>
    </w:p>
    <w:p w:rsidR="009429C0" w:rsidRPr="009429C0" w:rsidRDefault="009429C0" w:rsidP="00B560E4">
      <w:pPr>
        <w:pStyle w:val="Zkladntext"/>
        <w:numPr>
          <w:ilvl w:val="0"/>
          <w:numId w:val="51"/>
        </w:numPr>
        <w:spacing w:line="360" w:lineRule="auto"/>
      </w:pPr>
      <w:r w:rsidRPr="009429C0">
        <w:t>Ministerstvo životného prostredia SR;</w:t>
      </w:r>
    </w:p>
    <w:p w:rsidR="009429C0" w:rsidRPr="009429C0" w:rsidRDefault="009429C0" w:rsidP="009429C0">
      <w:pPr>
        <w:pStyle w:val="Zkladntext"/>
        <w:spacing w:line="360" w:lineRule="auto"/>
      </w:pPr>
      <w:r w:rsidRPr="009429C0">
        <w:t>a 11 ostatných ústredných orgánov štátnej správy, na čele ktorých nestojí člen vlády, ale predseda:</w:t>
      </w:r>
    </w:p>
    <w:p w:rsidR="009429C0" w:rsidRPr="009429C0" w:rsidRDefault="009429C0" w:rsidP="00B560E4">
      <w:pPr>
        <w:pStyle w:val="Zkladntext"/>
        <w:numPr>
          <w:ilvl w:val="0"/>
          <w:numId w:val="52"/>
        </w:numPr>
        <w:spacing w:line="360" w:lineRule="auto"/>
      </w:pPr>
      <w:r w:rsidRPr="009429C0">
        <w:t>Úrad vlády SR</w:t>
      </w:r>
      <w:r w:rsidRPr="009429C0">
        <w:rPr>
          <w:lang w:val="en-US"/>
        </w:rPr>
        <w:t>;</w:t>
      </w:r>
    </w:p>
    <w:p w:rsidR="009429C0" w:rsidRPr="009429C0" w:rsidRDefault="009429C0" w:rsidP="00B560E4">
      <w:pPr>
        <w:pStyle w:val="Zkladntext"/>
        <w:numPr>
          <w:ilvl w:val="0"/>
          <w:numId w:val="52"/>
        </w:numPr>
        <w:spacing w:line="360" w:lineRule="auto"/>
      </w:pPr>
      <w:r w:rsidRPr="009429C0">
        <w:t>Národný bezpečnostný úrad SR;</w:t>
      </w:r>
    </w:p>
    <w:p w:rsidR="009429C0" w:rsidRPr="009429C0" w:rsidRDefault="009429C0" w:rsidP="00B560E4">
      <w:pPr>
        <w:pStyle w:val="Zkladntext"/>
        <w:numPr>
          <w:ilvl w:val="0"/>
          <w:numId w:val="52"/>
        </w:numPr>
        <w:spacing w:line="360" w:lineRule="auto"/>
      </w:pPr>
      <w:r w:rsidRPr="009429C0">
        <w:t>Štatistický úrad SR;</w:t>
      </w:r>
    </w:p>
    <w:p w:rsidR="009429C0" w:rsidRPr="009429C0" w:rsidRDefault="009429C0" w:rsidP="00B560E4">
      <w:pPr>
        <w:pStyle w:val="Zkladntext"/>
        <w:numPr>
          <w:ilvl w:val="0"/>
          <w:numId w:val="52"/>
        </w:numPr>
        <w:spacing w:line="360" w:lineRule="auto"/>
      </w:pPr>
      <w:r w:rsidRPr="009429C0">
        <w:t>Protimonopolný úrad SR;</w:t>
      </w:r>
    </w:p>
    <w:p w:rsidR="009429C0" w:rsidRPr="009429C0" w:rsidRDefault="009429C0" w:rsidP="00B560E4">
      <w:pPr>
        <w:pStyle w:val="Zkladntext"/>
        <w:numPr>
          <w:ilvl w:val="0"/>
          <w:numId w:val="52"/>
        </w:numPr>
        <w:spacing w:line="360" w:lineRule="auto"/>
      </w:pPr>
      <w:r w:rsidRPr="009429C0">
        <w:t>Úrad pre verejné obstarávanie SR;</w:t>
      </w:r>
    </w:p>
    <w:p w:rsidR="009429C0" w:rsidRPr="009429C0" w:rsidRDefault="009429C0" w:rsidP="00B560E4">
      <w:pPr>
        <w:pStyle w:val="Zkladntext"/>
        <w:numPr>
          <w:ilvl w:val="0"/>
          <w:numId w:val="52"/>
        </w:numPr>
        <w:spacing w:line="360" w:lineRule="auto"/>
      </w:pPr>
      <w:r w:rsidRPr="009429C0">
        <w:t>Úrad geodézie, kartografie a katastra SR;</w:t>
      </w:r>
    </w:p>
    <w:p w:rsidR="009429C0" w:rsidRPr="009429C0" w:rsidRDefault="009429C0" w:rsidP="00B560E4">
      <w:pPr>
        <w:pStyle w:val="Zkladntext"/>
        <w:numPr>
          <w:ilvl w:val="0"/>
          <w:numId w:val="52"/>
        </w:numPr>
        <w:spacing w:line="360" w:lineRule="auto"/>
      </w:pPr>
      <w:r w:rsidRPr="009429C0">
        <w:t>Úrad pre normalizáciu, metrológiu a skúšobníctvo SR;</w:t>
      </w:r>
    </w:p>
    <w:p w:rsidR="009429C0" w:rsidRPr="009429C0" w:rsidRDefault="009429C0" w:rsidP="00B560E4">
      <w:pPr>
        <w:pStyle w:val="Zkladntext"/>
        <w:numPr>
          <w:ilvl w:val="0"/>
          <w:numId w:val="52"/>
        </w:numPr>
        <w:spacing w:line="360" w:lineRule="auto"/>
      </w:pPr>
      <w:r w:rsidRPr="009429C0">
        <w:t>Úrad jadrového dozoru SR;</w:t>
      </w:r>
    </w:p>
    <w:p w:rsidR="009429C0" w:rsidRPr="009429C0" w:rsidRDefault="009429C0" w:rsidP="00B560E4">
      <w:pPr>
        <w:pStyle w:val="Zkladntext"/>
        <w:numPr>
          <w:ilvl w:val="0"/>
          <w:numId w:val="52"/>
        </w:numPr>
        <w:spacing w:line="360" w:lineRule="auto"/>
      </w:pPr>
      <w:r w:rsidRPr="009429C0">
        <w:t>Úrad priemyselného vlastníctva SR;</w:t>
      </w:r>
    </w:p>
    <w:p w:rsidR="009429C0" w:rsidRDefault="009429C0" w:rsidP="00B560E4">
      <w:pPr>
        <w:pStyle w:val="Zkladntext"/>
        <w:numPr>
          <w:ilvl w:val="0"/>
          <w:numId w:val="52"/>
        </w:numPr>
        <w:spacing w:line="360" w:lineRule="auto"/>
      </w:pPr>
      <w:r w:rsidRPr="009429C0">
        <w:t>Správa štátnych hmotných rezerv SR;</w:t>
      </w:r>
    </w:p>
    <w:p w:rsidR="00597443" w:rsidRPr="009429C0" w:rsidRDefault="009429C0" w:rsidP="00B560E4">
      <w:pPr>
        <w:pStyle w:val="Zkladntext"/>
        <w:numPr>
          <w:ilvl w:val="0"/>
          <w:numId w:val="52"/>
        </w:numPr>
        <w:spacing w:line="360" w:lineRule="auto"/>
      </w:pPr>
      <w:r w:rsidRPr="009429C0">
        <w:t>Pamiatkový úrad SR.</w:t>
      </w:r>
      <w:r w:rsidR="00597443" w:rsidRPr="009429C0">
        <w:t xml:space="preserve"> </w:t>
      </w:r>
    </w:p>
    <w:p w:rsidR="00597443" w:rsidRDefault="00597443" w:rsidP="00597443">
      <w:pPr>
        <w:pStyle w:val="Zkladntext"/>
        <w:spacing w:line="360" w:lineRule="auto"/>
      </w:pPr>
    </w:p>
    <w:p w:rsidR="00712F59" w:rsidRDefault="00712F59" w:rsidP="00472F63">
      <w:pPr>
        <w:pStyle w:val="ZPPodNadpis3urovenTimesNewRoman"/>
      </w:pPr>
      <w:r>
        <w:t>Miestna š</w:t>
      </w:r>
      <w:r w:rsidRPr="00344365">
        <w:t>tátna správa</w:t>
      </w:r>
    </w:p>
    <w:p w:rsidR="00712F59" w:rsidRPr="00712F59" w:rsidRDefault="00712F59" w:rsidP="00712F59">
      <w:pPr>
        <w:pStyle w:val="Zkladntext"/>
        <w:spacing w:line="360" w:lineRule="auto"/>
        <w:ind w:firstLine="708"/>
      </w:pPr>
      <w:r w:rsidRPr="00712F59">
        <w:t>Podľa zákona č. 515/2003  Z.z. o krajských úradoch a obvodných úradoch sú miestnymi orgánmi štátnej správy na úsekoch všeobecnej vnútornej správy, živnostenského podnikania, civilnej ochrany a riadenia štátu v čase krízových situácií (okrem vojny a vojnového stavu) obvodné úrady, ktorých vnútornú organizáciu určuje ministerstvo. Vláda na návrh ministra vnútra SR vymenováva ako aj odvoláva predsedu, ktorý obvodný úrad riadi a zodpovedá za jeho činnosť. Obvodný úrad plní najmä tieto úlohy:</w:t>
      </w:r>
    </w:p>
    <w:p w:rsidR="00712F59" w:rsidRPr="00712F59" w:rsidRDefault="00712F59" w:rsidP="00B560E4">
      <w:pPr>
        <w:pStyle w:val="Zkladntext"/>
        <w:numPr>
          <w:ilvl w:val="0"/>
          <w:numId w:val="53"/>
        </w:numPr>
        <w:spacing w:line="360" w:lineRule="auto"/>
      </w:pPr>
      <w:r w:rsidRPr="00712F59">
        <w:lastRenderedPageBreak/>
        <w:t>v I. stupni vecne príslušný na konanie, v ktorom o právach a povinnostiach fyzických a právnických osôb v oblasti štátnej správy rozhodujú orgány štátnej správy;</w:t>
      </w:r>
    </w:p>
    <w:p w:rsidR="00712F59" w:rsidRPr="00712F59" w:rsidRDefault="00712F59" w:rsidP="00B560E4">
      <w:pPr>
        <w:pStyle w:val="Zkladntext"/>
        <w:numPr>
          <w:ilvl w:val="0"/>
          <w:numId w:val="53"/>
        </w:numPr>
        <w:spacing w:line="360" w:lineRule="auto"/>
      </w:pPr>
      <w:r w:rsidRPr="00712F59">
        <w:t>odvolací orgán vo veciach, v ktorých v správnom konaní v I. stupni rozhodovala obec;</w:t>
      </w:r>
    </w:p>
    <w:p w:rsidR="00712F59" w:rsidRPr="00712F59" w:rsidRDefault="00712F59" w:rsidP="00B560E4">
      <w:pPr>
        <w:pStyle w:val="Zkladntext"/>
        <w:numPr>
          <w:ilvl w:val="0"/>
          <w:numId w:val="53"/>
        </w:numPr>
        <w:spacing w:line="360" w:lineRule="auto"/>
      </w:pPr>
      <w:r w:rsidRPr="00712F59">
        <w:t>schvaľovanie koncepcie rozvoja jednotlivých oblastí života obcí a prerokovávanie územných plánov obcí v zastúpení štátu;</w:t>
      </w:r>
    </w:p>
    <w:p w:rsidR="00712F59" w:rsidRPr="00712F59" w:rsidRDefault="00712F59" w:rsidP="00B560E4">
      <w:pPr>
        <w:pStyle w:val="Zkladntext"/>
        <w:numPr>
          <w:ilvl w:val="0"/>
          <w:numId w:val="53"/>
        </w:numPr>
        <w:spacing w:line="360" w:lineRule="auto"/>
      </w:pPr>
      <w:r w:rsidRPr="00712F59">
        <w:t>vypracovávanie programov hospodárskeho a sociálneho rozvoja obvodu a koordinácia iniciatívy fyzických a právnických osôb súvisiacich s týmto rozvojom (najmä v oblastiach cestovného ruchu, kultúry, telesnej kultúry a štátnej starostlivosti o mládež);</w:t>
      </w:r>
    </w:p>
    <w:p w:rsidR="00712F59" w:rsidRPr="00712F59" w:rsidRDefault="00712F59" w:rsidP="00B560E4">
      <w:pPr>
        <w:pStyle w:val="Zkladntext"/>
        <w:numPr>
          <w:ilvl w:val="0"/>
          <w:numId w:val="53"/>
        </w:numPr>
        <w:spacing w:line="360" w:lineRule="auto"/>
      </w:pPr>
      <w:r w:rsidRPr="00712F59">
        <w:t>poskytovanie odbornej pomoci obciam pri aplikácii právnych predpisov, na základe ktorých plnia úlohy štátnej správy;</w:t>
      </w:r>
    </w:p>
    <w:p w:rsidR="00712F59" w:rsidRPr="00712F59" w:rsidRDefault="00712F59" w:rsidP="00B560E4">
      <w:pPr>
        <w:pStyle w:val="Zkladntext"/>
        <w:numPr>
          <w:ilvl w:val="0"/>
          <w:numId w:val="53"/>
        </w:numPr>
        <w:spacing w:line="360" w:lineRule="auto"/>
      </w:pPr>
      <w:r w:rsidRPr="00712F59">
        <w:t>poskytovanie údajov z vedených evidencií (na žiadosť obcí);</w:t>
      </w:r>
    </w:p>
    <w:p w:rsidR="00712F59" w:rsidRPr="00712F59" w:rsidRDefault="00712F59" w:rsidP="00B560E4">
      <w:pPr>
        <w:pStyle w:val="Zkladntext"/>
        <w:numPr>
          <w:ilvl w:val="0"/>
          <w:numId w:val="53"/>
        </w:numPr>
        <w:spacing w:line="360" w:lineRule="auto"/>
      </w:pPr>
      <w:r w:rsidRPr="00712F59">
        <w:t>upozorňovanie obcí na nedostatky v ich činnostiach;</w:t>
      </w:r>
    </w:p>
    <w:p w:rsidR="00712F59" w:rsidRPr="00712F59" w:rsidRDefault="00712F59" w:rsidP="00B560E4">
      <w:pPr>
        <w:pStyle w:val="Zkladntext"/>
        <w:numPr>
          <w:ilvl w:val="0"/>
          <w:numId w:val="53"/>
        </w:numPr>
        <w:spacing w:line="360" w:lineRule="auto"/>
      </w:pPr>
      <w:r w:rsidRPr="00712F59">
        <w:t xml:space="preserve">plnenie a kontrolovanie úloh spojených s mobilizačnými prípravami štátu a komplexným záchranným systémom.  </w:t>
      </w:r>
    </w:p>
    <w:p w:rsidR="00712F59" w:rsidRPr="00712F59" w:rsidRDefault="00712F59" w:rsidP="00712F59">
      <w:pPr>
        <w:pStyle w:val="Zkladntext"/>
        <w:spacing w:line="360" w:lineRule="auto"/>
      </w:pPr>
      <w:r w:rsidRPr="00712F59">
        <w:t>V rámci reforiem verejnej správy SR boli niektoré činnosti vyčlenené z pôsobnosti krajských a obvodných úradov a pridelené novým orgánom štátnej správy na špecializovanej úrovni:</w:t>
      </w:r>
    </w:p>
    <w:p w:rsidR="00712F59" w:rsidRPr="00712F59" w:rsidRDefault="00712F59" w:rsidP="00B560E4">
      <w:pPr>
        <w:pStyle w:val="Zkladntext"/>
        <w:numPr>
          <w:ilvl w:val="0"/>
          <w:numId w:val="54"/>
        </w:numPr>
        <w:spacing w:line="360" w:lineRule="auto"/>
      </w:pPr>
      <w:r w:rsidRPr="00712F59">
        <w:t>Krajské a obvodné úrady pre cestnú dopravu a pozemné komunikácie;</w:t>
      </w:r>
    </w:p>
    <w:p w:rsidR="00712F59" w:rsidRPr="00712F59" w:rsidRDefault="00712F59" w:rsidP="00B560E4">
      <w:pPr>
        <w:pStyle w:val="Zkladntext"/>
        <w:numPr>
          <w:ilvl w:val="0"/>
          <w:numId w:val="54"/>
        </w:numPr>
        <w:spacing w:line="360" w:lineRule="auto"/>
      </w:pPr>
      <w:r w:rsidRPr="00712F59">
        <w:t xml:space="preserve">Krajské a obvodné pozemkové úrady; </w:t>
      </w:r>
    </w:p>
    <w:p w:rsidR="00712F59" w:rsidRPr="00712F59" w:rsidRDefault="00712F59" w:rsidP="00B560E4">
      <w:pPr>
        <w:pStyle w:val="Zkladntext"/>
        <w:numPr>
          <w:ilvl w:val="0"/>
          <w:numId w:val="54"/>
        </w:numPr>
        <w:spacing w:line="360" w:lineRule="auto"/>
      </w:pPr>
      <w:r w:rsidRPr="00712F59">
        <w:t>Krajské a obvodné lesné úrady;</w:t>
      </w:r>
    </w:p>
    <w:p w:rsidR="00712F59" w:rsidRPr="00712F59" w:rsidRDefault="00712F59" w:rsidP="00B560E4">
      <w:pPr>
        <w:pStyle w:val="Zkladntext"/>
        <w:numPr>
          <w:ilvl w:val="0"/>
          <w:numId w:val="54"/>
        </w:numPr>
        <w:spacing w:line="360" w:lineRule="auto"/>
      </w:pPr>
      <w:r w:rsidRPr="00712F59">
        <w:t>Krajské a obvodné úrady životného prostredia;</w:t>
      </w:r>
    </w:p>
    <w:p w:rsidR="00712F59" w:rsidRPr="00712F59" w:rsidRDefault="00712F59" w:rsidP="00B560E4">
      <w:pPr>
        <w:pStyle w:val="Zkladntext"/>
        <w:numPr>
          <w:ilvl w:val="0"/>
          <w:numId w:val="54"/>
        </w:numPr>
        <w:spacing w:line="360" w:lineRule="auto"/>
      </w:pPr>
      <w:r w:rsidRPr="00712F59">
        <w:t>Krajské stavebné úrady;</w:t>
      </w:r>
    </w:p>
    <w:p w:rsidR="00712F59" w:rsidRPr="00712F59" w:rsidRDefault="00712F59" w:rsidP="00B560E4">
      <w:pPr>
        <w:pStyle w:val="Zkladntext"/>
        <w:numPr>
          <w:ilvl w:val="0"/>
          <w:numId w:val="54"/>
        </w:numPr>
        <w:spacing w:line="360" w:lineRule="auto"/>
      </w:pPr>
      <w:r w:rsidRPr="00712F59">
        <w:t>Ústredie práce, sociálnych vecí a rodiny a jeho územné úrady;</w:t>
      </w:r>
    </w:p>
    <w:p w:rsidR="00712F59" w:rsidRPr="00712F59" w:rsidRDefault="00712F59" w:rsidP="00B560E4">
      <w:pPr>
        <w:pStyle w:val="Zkladntext"/>
        <w:numPr>
          <w:ilvl w:val="0"/>
          <w:numId w:val="54"/>
        </w:numPr>
        <w:spacing w:line="360" w:lineRule="auto"/>
      </w:pPr>
      <w:r w:rsidRPr="00712F59">
        <w:t>Úrad verejného zdravotníctva a regionálne úrady verejného zdravotníctva;</w:t>
      </w:r>
    </w:p>
    <w:p w:rsidR="00712F59" w:rsidRPr="00712F59" w:rsidRDefault="00712F59" w:rsidP="00B560E4">
      <w:pPr>
        <w:pStyle w:val="Zkladntext"/>
        <w:numPr>
          <w:ilvl w:val="0"/>
          <w:numId w:val="54"/>
        </w:numPr>
        <w:spacing w:line="360" w:lineRule="auto"/>
        <w:rPr>
          <w:b/>
        </w:rPr>
      </w:pPr>
      <w:r w:rsidRPr="00712F59">
        <w:t>Krajské školské úrady.</w:t>
      </w:r>
    </w:p>
    <w:p w:rsidR="00712F59" w:rsidRDefault="00712F59" w:rsidP="00597443">
      <w:pPr>
        <w:pStyle w:val="Zkladntext"/>
        <w:spacing w:line="360" w:lineRule="auto"/>
      </w:pPr>
    </w:p>
    <w:p w:rsidR="00FB319B" w:rsidRDefault="00FB319B" w:rsidP="00597443">
      <w:pPr>
        <w:pStyle w:val="Zkladntext"/>
        <w:spacing w:line="360" w:lineRule="auto"/>
      </w:pPr>
    </w:p>
    <w:p w:rsidR="00FB319B" w:rsidRDefault="00FB319B" w:rsidP="00597443">
      <w:pPr>
        <w:pStyle w:val="Zkladntext"/>
        <w:spacing w:line="360" w:lineRule="auto"/>
      </w:pPr>
    </w:p>
    <w:p w:rsidR="00FB319B" w:rsidRDefault="00FB319B" w:rsidP="00472F63">
      <w:pPr>
        <w:pStyle w:val="ZPPodNadpis3urovenTimesNewRoman"/>
      </w:pPr>
      <w:r>
        <w:lastRenderedPageBreak/>
        <w:t>Územná samospráva</w:t>
      </w:r>
    </w:p>
    <w:p w:rsidR="00FB319B" w:rsidRPr="00597443" w:rsidRDefault="00FB319B" w:rsidP="00FB319B">
      <w:pPr>
        <w:pStyle w:val="Nadpis4"/>
      </w:pPr>
      <w:r>
        <w:t>Miestna samospráva</w:t>
      </w:r>
    </w:p>
    <w:p w:rsidR="00FB319B" w:rsidRPr="00FB319B" w:rsidRDefault="00FB319B" w:rsidP="00FB319B">
      <w:pPr>
        <w:pStyle w:val="Zkladntext"/>
        <w:spacing w:line="360" w:lineRule="auto"/>
        <w:ind w:firstLine="708"/>
      </w:pPr>
      <w:r w:rsidRPr="00FB319B">
        <w:t>Obec ako samostatný samosprávny celok združuje osoby, ktoré majú na jej území trvalý pobyt. Ako právnická osoba má vlastnú spôsobilosť na právne úkony, v právnych vzťahov vystupuje vo vlastnom mene a na vlastnú zodpovednosť; ako ekonomická jednotka disponuje a zároveň sama hospodári s vlastným majetkom a finančnými prostriedkami, ktoré používa na verejné účely, na podnikateľskú činnosť a na výkon samosprávy obce; ako sociálna jednotka vytvára pre svojich obyvateľov podmienky pre zvyšovanie kvality života. Podľa zákona č. 369/1990 Zb. o obecnom zriadení je rozhodujúca zodpovednosť za výkon samosprávy v rukách volených orgánov obce, ktorými sú:</w:t>
      </w:r>
    </w:p>
    <w:p w:rsidR="00FB319B" w:rsidRPr="00FB319B" w:rsidRDefault="00FB319B" w:rsidP="00B560E4">
      <w:pPr>
        <w:pStyle w:val="Zkladntext"/>
        <w:numPr>
          <w:ilvl w:val="0"/>
          <w:numId w:val="77"/>
        </w:numPr>
        <w:spacing w:line="360" w:lineRule="auto"/>
      </w:pPr>
      <w:r w:rsidRPr="00FB319B">
        <w:t>Obecné/mestské zastupiteľstvo - zastupiteľský zbor zložený z poslancov zvolených v priamych voľbách obyvateľmi obce na funkčné obdobie 4 rokov rozhoduje o základných otázkach života obce, určuje zásady hospodárenia a nakladania s majetkom, schvaľuje rozpočet obce a kontroluje jeho čerpanie, schvaľuje územný plán obce, vydáva všeobecne záväzné nariadenia a vnútorné predpisy (tzv. normotvorná právomoc), zriaďuje obecnú radu, komisie, hlavného kontrolóra, rozpočtové a príspevkové organizácie (tzv. kreačná právomoc).</w:t>
      </w:r>
    </w:p>
    <w:p w:rsidR="00D77A50" w:rsidRDefault="00FB319B" w:rsidP="00B560E4">
      <w:pPr>
        <w:pStyle w:val="Zkladntext"/>
        <w:numPr>
          <w:ilvl w:val="0"/>
          <w:numId w:val="77"/>
        </w:numPr>
        <w:spacing w:line="360" w:lineRule="auto"/>
      </w:pPr>
      <w:r w:rsidRPr="00FB319B">
        <w:t>Starosta obce/primátor mesta - predstaviteľ a najvyšší výkonný orgánom obce zvolený v priamych voľbách jej obyvateľmi zvoláva a vedie zasadnutia obecného zastupiteľstva a podpisuje ich uznesenia a vykonáva obecnú správu.</w:t>
      </w:r>
      <w:r>
        <w:t xml:space="preserve"> F</w:t>
      </w:r>
      <w:r w:rsidRPr="00FB319B">
        <w:t xml:space="preserve">unkcia starostu je verejnou funkciou; v majetkovoprávnych a pracovnoprávnych vzťahoch je štatutárnym orgánom, avšak v administratívnych vzťahoch je správnym orgánom. </w:t>
      </w:r>
    </w:p>
    <w:p w:rsidR="00FB319B" w:rsidRPr="00597443" w:rsidRDefault="00FB319B" w:rsidP="00D77A50">
      <w:pPr>
        <w:pStyle w:val="Zkladntext"/>
        <w:spacing w:line="360" w:lineRule="auto"/>
        <w:ind w:firstLine="720"/>
      </w:pPr>
      <w:r w:rsidRPr="00FB319B">
        <w:t xml:space="preserve">Obec vykonáva činnosti spadajúce do jej originálnych kompetencií </w:t>
      </w:r>
      <w:r>
        <w:t xml:space="preserve">          </w:t>
      </w:r>
      <w:r w:rsidRPr="00FB319B">
        <w:t>(správa a údržba miestnych komunikácií, hromadná doprava, verejné priestranstvá, ochrana životného prostredia, vodné hospodárstvo, správa a údržba kanalizácií, komunálny odpad, územné plánovanie, miestny rozvoj, bývanie, kultúra, predškolské a školské zariadenia, správa sociálnych zariadení, polikliniky a niektoré nemocnice, miestna polícia, výber miestnych daní a poplatkov, niektoré priestupky, osvedčovanie listín), ale aj prenesených (matrika, stavebný poriadok, školstvo).</w:t>
      </w:r>
    </w:p>
    <w:p w:rsidR="00FB319B" w:rsidRDefault="00FB319B" w:rsidP="00410378">
      <w:pPr>
        <w:pStyle w:val="Zkladntext"/>
        <w:spacing w:line="360" w:lineRule="auto"/>
      </w:pPr>
    </w:p>
    <w:p w:rsidR="00410378" w:rsidRDefault="00410378" w:rsidP="00410378">
      <w:pPr>
        <w:pStyle w:val="Zkladntext"/>
        <w:spacing w:line="360" w:lineRule="auto"/>
      </w:pPr>
    </w:p>
    <w:p w:rsidR="00410378" w:rsidRPr="00597443" w:rsidRDefault="00410378" w:rsidP="00410378">
      <w:pPr>
        <w:pStyle w:val="Nadpis4"/>
      </w:pPr>
      <w:r>
        <w:lastRenderedPageBreak/>
        <w:t>Regionálna samospráva</w:t>
      </w:r>
    </w:p>
    <w:p w:rsidR="00410378" w:rsidRPr="00410378" w:rsidRDefault="00410378" w:rsidP="00410378">
      <w:pPr>
        <w:pStyle w:val="Zkladntext"/>
        <w:spacing w:line="360" w:lineRule="auto"/>
        <w:ind w:firstLine="708"/>
      </w:pPr>
      <w:r w:rsidRPr="00410378">
        <w:t>Samosprávny kraj ako samostatný územný samosprávny a správny celok sa začal konštituovať prijatím zákona č. 302/2001 Z.z. o samospráve vyšších územných celkov, na základe ktorého bolo zriadených 8 samosprávnych krajov:</w:t>
      </w:r>
    </w:p>
    <w:p w:rsidR="00410378" w:rsidRPr="00410378" w:rsidRDefault="00410378" w:rsidP="00B560E4">
      <w:pPr>
        <w:pStyle w:val="Zkladntext"/>
        <w:numPr>
          <w:ilvl w:val="0"/>
          <w:numId w:val="55"/>
        </w:numPr>
        <w:spacing w:line="360" w:lineRule="auto"/>
      </w:pPr>
      <w:r w:rsidRPr="00410378">
        <w:t>Bratislavský samosprávny kraj;</w:t>
      </w:r>
    </w:p>
    <w:p w:rsidR="00410378" w:rsidRPr="00410378" w:rsidRDefault="00410378" w:rsidP="00B560E4">
      <w:pPr>
        <w:pStyle w:val="Zkladntext"/>
        <w:numPr>
          <w:ilvl w:val="0"/>
          <w:numId w:val="55"/>
        </w:numPr>
        <w:spacing w:line="360" w:lineRule="auto"/>
      </w:pPr>
      <w:r w:rsidRPr="00410378">
        <w:t>Trnavský samosprávny kraj;</w:t>
      </w:r>
    </w:p>
    <w:p w:rsidR="00410378" w:rsidRPr="00410378" w:rsidRDefault="00410378" w:rsidP="00B560E4">
      <w:pPr>
        <w:pStyle w:val="Zkladntext"/>
        <w:numPr>
          <w:ilvl w:val="0"/>
          <w:numId w:val="55"/>
        </w:numPr>
        <w:spacing w:line="360" w:lineRule="auto"/>
      </w:pPr>
      <w:r w:rsidRPr="00410378">
        <w:t>Trenčiansky samosprávny kraj;</w:t>
      </w:r>
    </w:p>
    <w:p w:rsidR="00410378" w:rsidRPr="00410378" w:rsidRDefault="00410378" w:rsidP="00B560E4">
      <w:pPr>
        <w:pStyle w:val="Zkladntext"/>
        <w:numPr>
          <w:ilvl w:val="0"/>
          <w:numId w:val="55"/>
        </w:numPr>
        <w:spacing w:line="360" w:lineRule="auto"/>
      </w:pPr>
      <w:r w:rsidRPr="00410378">
        <w:t>Nitriansky samosprávny kraj;</w:t>
      </w:r>
    </w:p>
    <w:p w:rsidR="00410378" w:rsidRPr="00410378" w:rsidRDefault="00410378" w:rsidP="00B560E4">
      <w:pPr>
        <w:pStyle w:val="Zkladntext"/>
        <w:numPr>
          <w:ilvl w:val="0"/>
          <w:numId w:val="55"/>
        </w:numPr>
        <w:spacing w:line="360" w:lineRule="auto"/>
      </w:pPr>
      <w:r w:rsidRPr="00410378">
        <w:t>Žilinský samosprávny kraj;</w:t>
      </w:r>
    </w:p>
    <w:p w:rsidR="00410378" w:rsidRPr="00410378" w:rsidRDefault="00410378" w:rsidP="00B560E4">
      <w:pPr>
        <w:pStyle w:val="Zkladntext"/>
        <w:numPr>
          <w:ilvl w:val="0"/>
          <w:numId w:val="55"/>
        </w:numPr>
        <w:spacing w:line="360" w:lineRule="auto"/>
      </w:pPr>
      <w:r w:rsidRPr="00410378">
        <w:t>Banskobystrický samosprávny kraj;</w:t>
      </w:r>
    </w:p>
    <w:p w:rsidR="00410378" w:rsidRPr="00410378" w:rsidRDefault="00410378" w:rsidP="00B560E4">
      <w:pPr>
        <w:pStyle w:val="Zkladntext"/>
        <w:numPr>
          <w:ilvl w:val="0"/>
          <w:numId w:val="55"/>
        </w:numPr>
        <w:spacing w:line="360" w:lineRule="auto"/>
      </w:pPr>
      <w:r w:rsidRPr="00410378">
        <w:t>Prešovský samosprávny kraj;</w:t>
      </w:r>
    </w:p>
    <w:p w:rsidR="00410378" w:rsidRPr="00410378" w:rsidRDefault="00410378" w:rsidP="00B560E4">
      <w:pPr>
        <w:pStyle w:val="Zkladntext"/>
        <w:numPr>
          <w:ilvl w:val="0"/>
          <w:numId w:val="55"/>
        </w:numPr>
        <w:spacing w:line="360" w:lineRule="auto"/>
      </w:pPr>
      <w:r w:rsidRPr="00410378">
        <w:t>Košický samosprávny kraj.</w:t>
      </w:r>
    </w:p>
    <w:p w:rsidR="00410378" w:rsidRPr="00410378" w:rsidRDefault="00410378" w:rsidP="00410378">
      <w:pPr>
        <w:pStyle w:val="Zkladntext"/>
        <w:spacing w:line="360" w:lineRule="auto"/>
      </w:pPr>
      <w:r w:rsidRPr="00410378">
        <w:t>Ide o právnickú osobu (hospodári so svojím majetkom a finančnými zdrojmi, zabezpečuje a chráni práva a záujmy svojich obyvateľov), verejnú korporáciu (zabezpečuje socio-ekonomický rozvoj regiónu, pôsobí na zmenšovaní rozdielov v rozvoji v rámci regiónu, zabezpečuje verejno-prospešné služby pre obce na svojom území), ako aj správny orgán. Podobne ako obec disponuje normotvornou, rozhodovacou, kontrolnou, sankčnou a kreačnou právomocou. Zodpovednosť za celkový výkon samosprávy nesú volené orgány samosprávneho kraja:</w:t>
      </w:r>
    </w:p>
    <w:p w:rsidR="00410378" w:rsidRPr="00410378" w:rsidRDefault="00410378" w:rsidP="00B560E4">
      <w:pPr>
        <w:pStyle w:val="Zkladntext"/>
        <w:numPr>
          <w:ilvl w:val="0"/>
          <w:numId w:val="78"/>
        </w:numPr>
        <w:spacing w:line="360" w:lineRule="auto"/>
      </w:pPr>
      <w:r w:rsidRPr="00410378">
        <w:t>Zastupiteľstvo samosprávneho kraja - zbor zložený z priamo volených poslancov samosprávneho kraja na obdobie 4 rokov. Rokovania sú zväčša verejné, ak ich predseda nevyhlási za neverejné.</w:t>
      </w:r>
    </w:p>
    <w:p w:rsidR="00410378" w:rsidRPr="00410378" w:rsidRDefault="00410378" w:rsidP="00B560E4">
      <w:pPr>
        <w:pStyle w:val="Zkladntext"/>
        <w:numPr>
          <w:ilvl w:val="0"/>
          <w:numId w:val="78"/>
        </w:numPr>
        <w:spacing w:line="360" w:lineRule="auto"/>
      </w:pPr>
      <w:r w:rsidRPr="00410378">
        <w:t>Predseda samosprávneho kraja - navonok zástupca samosprávneho kraja zvolený v priamych voľbách jej obyvateľmi na funkčné obdobie 4 rokoch. Táto funkcia je verejná, avšak nevykonáva sa v pracovnom pomere</w:t>
      </w:r>
      <w:r w:rsidRPr="00410378">
        <w:rPr>
          <w:lang w:val="en-US"/>
        </w:rPr>
        <w:t xml:space="preserve">; </w:t>
      </w:r>
      <w:r w:rsidRPr="00410378">
        <w:t xml:space="preserve">v majetkovoprávnych, pracovnoprávnych a iných vzťahov je štatutárnym orgánom. </w:t>
      </w:r>
    </w:p>
    <w:p w:rsidR="00410378" w:rsidRDefault="00410378" w:rsidP="00410378">
      <w:pPr>
        <w:pStyle w:val="Zkladntext"/>
        <w:spacing w:line="360" w:lineRule="auto"/>
      </w:pPr>
      <w:r w:rsidRPr="00410378">
        <w:tab/>
        <w:t>Ako správny orgán vykonáva samosprávny kraj úlohy, ktoré vyplývajú z jeho originálnych kompetencií (správa a údržba ciest II. A III. triedy, územné plánovanie, regionálny rozvoj, investičná činnosť, správa kultúrnych zariadení - múzeí, galérií a knižníc, zriaďovanie a rušenie stredných škôl, zriaďovanie a rušenie domovov dôchodcov, zriaďovanie nemocníc s poliklinikou, vydávanie licencií pre lekárne a odborným súkromným lekárom a i.).</w:t>
      </w:r>
    </w:p>
    <w:p w:rsidR="00E30147" w:rsidRDefault="00E30147" w:rsidP="00410378">
      <w:pPr>
        <w:pStyle w:val="Zkladntext"/>
        <w:spacing w:line="360" w:lineRule="auto"/>
      </w:pPr>
    </w:p>
    <w:p w:rsidR="00E30147" w:rsidRDefault="00E30147" w:rsidP="00472F63">
      <w:pPr>
        <w:pStyle w:val="ZPPodNadpis3urovenTimesNewRoman"/>
      </w:pPr>
      <w:r>
        <w:lastRenderedPageBreak/>
        <w:t>Územná samospráva</w:t>
      </w:r>
    </w:p>
    <w:p w:rsidR="00E30147" w:rsidRPr="00E30147" w:rsidRDefault="00E30147" w:rsidP="00E30147">
      <w:pPr>
        <w:pStyle w:val="Zkladntext"/>
        <w:spacing w:line="360" w:lineRule="auto"/>
        <w:ind w:firstLine="720"/>
      </w:pPr>
      <w:r w:rsidRPr="00E30147">
        <w:t>Ide predovšetkým o zákonom zriadené profesijné komory, ktoré združujú fyzické osoby v súvislosti s výkonom určitých povolaní (napr. Živnostenská komora, Notárska komora, Slovenská komora audítorov či Komora veterinárnych lekárov). Spravidla majú členstvo povinné, sú samostatné, majú svoje stanovy a organizačné poriadky.</w:t>
      </w:r>
    </w:p>
    <w:p w:rsidR="006803C0" w:rsidRDefault="006803C0" w:rsidP="006803C0">
      <w:pPr>
        <w:spacing w:before="0"/>
        <w:contextualSpacing/>
      </w:pPr>
    </w:p>
    <w:p w:rsidR="00E30147" w:rsidRPr="00CC7A6C" w:rsidRDefault="00E30147" w:rsidP="00CF141A">
      <w:pPr>
        <w:pStyle w:val="ZPPodNadpisKapitolyTimesNewRoman"/>
      </w:pPr>
      <w:r>
        <w:t>Všeobecná charakteristika správneho konania</w:t>
      </w:r>
    </w:p>
    <w:p w:rsidR="00E30147" w:rsidRPr="00E30147" w:rsidRDefault="00E30147" w:rsidP="00E30147">
      <w:pPr>
        <w:pStyle w:val="Zkladntext"/>
        <w:spacing w:line="360" w:lineRule="auto"/>
        <w:ind w:firstLine="708"/>
      </w:pPr>
      <w:r w:rsidRPr="00E30147">
        <w:t xml:space="preserve">Správne právo ako odvetvie slovenského právneho poriadku je úzko späté s verejnou správou, nakoľko upravuje jej organizáciu, činnosť, podmienky vykonávania tejto činnosti, postupy spravujúcich (v rámci ktorých vykonávajú svoje spravovacie kompetencie) a spravovaných (v rámci ktorých realizujú svoje práva a povinnosti) subjektov. Podobne ako ostatné právne odvetvia je správne právo právom písaným, ale aj nekodifikovaným, pretože je tvorené súborom právnych predpisov rôznej právnej sily. Pre verejnú správu je typické, že normy hmotného práva nie sú schopné pôsobiť priamo, ale že ich je potrebné aplikovať na konkrétnu právnu situáciu, čo v konečnom dôsledku odráža nevyhnutnosť existencie správneho práva procesného. Správne právo procesné predstavuje súhrn právnych noriem, ktoré upravujú procesný postup orgánov verejnej správy (správnych orgánov) pri rozhodovaní o právach a povinnostiach účastníkov správneho konania (fyzických a právnických osôb), a to v procese aplikácie hmotného práva na konkrétny prípad (napr. v procese získania živnostenského oprávnenia). Za kódex upravujúci správne právo procesné sa považuje zákon č. 71/1967 Zb. o správnom konaní (tzv. správny poriadok). Ide o všeobecnú úpravu, pretože upravuje procesné práva a povinnosti v správnom konaní v celej verejnej správe, vo všetkých jej oblastiach a úsekoch. Existujú však aj osobitné úpravy (napr. konanie vo veci živnosti), ktoré podľa potreby rozhodovania v špecifických prípadoch upravujú väčšie či menšie odchýlky od všeobecnej úpravy. Všeobecná správa zaujíma voči osobitným úpravám subsidiárne postavenie. Predmetom správneho konania, ktoré je založené na procesných zásadách, je teda rozhodovanie o právach a právom chránených záujmoch a povinnostiach fyzických a právnických osôb. </w:t>
      </w:r>
    </w:p>
    <w:p w:rsidR="00E30147" w:rsidRPr="00E30147" w:rsidRDefault="00E30147" w:rsidP="00E30147">
      <w:pPr>
        <w:pStyle w:val="Zkladntext"/>
        <w:spacing w:line="360" w:lineRule="auto"/>
        <w:ind w:firstLine="708"/>
      </w:pPr>
      <w:r w:rsidRPr="00E30147">
        <w:t xml:space="preserve">Na to, aby bolo správne konanie právnym procesom, je nevyhnutná existencia subjektov správneho konania: správneho orgánu a účastníka konania. Správnym orgánom môže byť len ten subjekt správneho konania, ktorý má administratívnoprávnu </w:t>
      </w:r>
      <w:r w:rsidRPr="00E30147">
        <w:lastRenderedPageBreak/>
        <w:t>subjektivitu, čo znamená, že je príslušný uskutočniť konanie a v danej veci aj rozhodnúť. Príslušnosť správneho orgánu na konanie pritom môže byť:</w:t>
      </w:r>
    </w:p>
    <w:p w:rsidR="00E30147" w:rsidRPr="00344365" w:rsidRDefault="00E30147" w:rsidP="00B560E4">
      <w:pPr>
        <w:pStyle w:val="Obyajntext"/>
        <w:numPr>
          <w:ilvl w:val="0"/>
          <w:numId w:val="56"/>
        </w:numPr>
        <w:spacing w:before="0"/>
        <w:contextualSpacing/>
        <w:rPr>
          <w:rFonts w:ascii="Times New Roman" w:hAnsi="Times New Roman"/>
          <w:sz w:val="24"/>
        </w:rPr>
      </w:pPr>
      <w:r w:rsidRPr="00344365">
        <w:rPr>
          <w:rFonts w:ascii="Times New Roman" w:hAnsi="Times New Roman"/>
          <w:sz w:val="24"/>
        </w:rPr>
        <w:t>vecná - vymedzenie spoločenských vzťahov, v ktorých je správny orgán spôsobilý konať a prostredníctvom vydania rozhodnutia v danej veci aj rozhodnúť (napr. vecne príslušným správnym orgánom v oblasti prejednávania priestupkov na úseku živnostenského podnikania je odbor živnostenského podnikania, sídliaci na obvodnom úrade);</w:t>
      </w:r>
    </w:p>
    <w:p w:rsidR="00E30147" w:rsidRPr="00344365" w:rsidRDefault="00E30147" w:rsidP="00B560E4">
      <w:pPr>
        <w:pStyle w:val="Obyajntext"/>
        <w:numPr>
          <w:ilvl w:val="0"/>
          <w:numId w:val="56"/>
        </w:numPr>
        <w:spacing w:before="0"/>
        <w:contextualSpacing/>
        <w:rPr>
          <w:rFonts w:ascii="Times New Roman" w:hAnsi="Times New Roman"/>
          <w:sz w:val="24"/>
        </w:rPr>
      </w:pPr>
      <w:r w:rsidRPr="00344365">
        <w:rPr>
          <w:rFonts w:ascii="Times New Roman" w:hAnsi="Times New Roman"/>
          <w:sz w:val="24"/>
        </w:rPr>
        <w:t xml:space="preserve">miestna - zákonom stanovené pravidlá (lex actus - príslušnosť určená miestom činnosti, lex rei sitae - príslušnosť určená miestom veci, lex domicilii - príslušnosť určená miestom bydliska fyzickej osoby resp. sídla právnickej osoby) pomáhajú určiť, ktorý z vecne príslušných správnych orgánov je v danej veci oprávnený konať. </w:t>
      </w:r>
    </w:p>
    <w:p w:rsidR="00E30147" w:rsidRPr="00E30147" w:rsidRDefault="00E30147" w:rsidP="00E30147">
      <w:pPr>
        <w:spacing w:before="0"/>
        <w:contextualSpacing/>
      </w:pPr>
      <w:r w:rsidRPr="00E30147">
        <w:t>Správne orgány dbajú o to, aby v rozhodovaní o skutkovo zhodných alebo podobných prípadoch nevznikali neodôvodnené rozdiely. Zákon umožňuje vylúčenie zamestnanca správneho orgánu z prejednávania a rozhodovania o veci, v prípade zistenia pochybnosti o jeho predpojatosti k tejto veci alebo k účastníkom tohto konania. Správne konanie sa nemôže uskutočniť bez účastníka konania (fyzické a právnické osoby, vrátane orgánov štátnej a územnej samosprávy), ktorý nadobúda v správnom konaní svoje procesné práva a povinnosti. V prípade, ak fyzická osoba nemá procesnú spôsobilosť, teda nemôže samostatne konať pred správnym orgánom i keď je účastníkom konania (napr. z dôvodu neplnoletosti, nepríčetnosti alebo ak jeho pobyt nie je známy), musí byť zastúpená (najčastejšie zákonným zástupcom alebo opatrovníkom). Právnická osoba má takmer vždy procesnú spôsobilosť, ktorú vykonáva prostredníctvom svojich orgánov alebo zástupcov, výnimku tvorí azda stav konkurzu či likvidácie právnickej osoby.</w:t>
      </w:r>
    </w:p>
    <w:p w:rsidR="00E30147" w:rsidRDefault="00E30147" w:rsidP="006803C0">
      <w:pPr>
        <w:spacing w:before="0"/>
        <w:contextualSpacing/>
      </w:pPr>
    </w:p>
    <w:p w:rsidR="00E30147" w:rsidRDefault="00E30147" w:rsidP="00472F63">
      <w:pPr>
        <w:pStyle w:val="ZPPodNadpis3urovenTimesNewRoman"/>
      </w:pPr>
      <w:r>
        <w:t>Priebeh správneho konania</w:t>
      </w:r>
    </w:p>
    <w:p w:rsidR="00E30147" w:rsidRPr="00597443" w:rsidRDefault="00E30147" w:rsidP="00E30147">
      <w:pPr>
        <w:pStyle w:val="Nadpis4"/>
      </w:pPr>
      <w:r>
        <w:t>Prvostupňové konanie</w:t>
      </w:r>
    </w:p>
    <w:p w:rsidR="00E30147" w:rsidRPr="00E30147" w:rsidRDefault="00E30147" w:rsidP="00E30147">
      <w:pPr>
        <w:pStyle w:val="Zkladntext"/>
        <w:spacing w:line="360" w:lineRule="auto"/>
        <w:ind w:firstLine="709"/>
      </w:pPr>
      <w:r w:rsidRPr="00E30147">
        <w:t xml:space="preserve">Existujú dva možné spôsoby začatia správneho konania. Prvou z možností je začatie správneho konania na návrh niektorého z účastníkov konania (napr. pri získaní živnostenského oprávnenia), ktoré sa začína dňom, kedy bolo podanie účastníka doručené príslušnému správnemu orgánu. Každé podanie musí spĺňať stanovené náležitosti: musí byť zrejmé, kto ho podáva, akej veci sa týka a čo sa v ňom navrhuje. </w:t>
      </w:r>
      <w:r w:rsidRPr="00E30147">
        <w:lastRenderedPageBreak/>
        <w:t xml:space="preserve">Ak podanie nesplňuje predpísané náležitosti, správny orgán pomôže navrhovateľovi dané nedostatky podania odstrániť resp. ho vyzve, aby ich do stanovenej lehoty sám odstránil (ak sa tak nenastane do stanovenej lehoty 7 dní, konanie sa zastaví). Ak je však podanie adresované nepríslušnému správnemu orgánu, ten je povinný ho okamžite postúpiť správnemu orgánu príslušnému v danej veci rozhodnúť a upovedomí o tom účastníkov konania. Podanie je pritom možné urobiť písomne, ústne do zápisnice alebo telegraficky, pri ktorom je však nevyhnutné do 3 dní písomné alebo ústne doplnenie do zápisnice. Druhým možným spôsobom je začatie správneho konania z úradnej povinnosti (ex offo), teda na podnet správneho orgánu, ktoré sa začína dňom uskutočnenia prvého úkonu zo strany správneho orgánu voči účastníkovi konania. Od okamihu začatia správneho konania nadobúdajú účastníci konania svoje procesné práva a povinnosti a správnemu orgánu vzniká povinnosť v danej veci konať ako aj rozhodnúť. </w:t>
      </w:r>
    </w:p>
    <w:p w:rsidR="00E30147" w:rsidRPr="00E30147" w:rsidRDefault="00E30147" w:rsidP="00E30147">
      <w:pPr>
        <w:pStyle w:val="Zkladntext"/>
        <w:spacing w:line="360" w:lineRule="auto"/>
        <w:ind w:firstLine="709"/>
      </w:pPr>
      <w:r w:rsidRPr="00E30147">
        <w:t>Následne správny orgán zisťuje skutočný stav veci a zabezpečuje podklady pre rozhodnutie v danej veci. Proces dokazovania sa skladá z troch fáz:</w:t>
      </w:r>
    </w:p>
    <w:p w:rsidR="00E30147" w:rsidRPr="00E30147" w:rsidRDefault="00E30147" w:rsidP="00B560E4">
      <w:pPr>
        <w:pStyle w:val="Zkladntext"/>
        <w:numPr>
          <w:ilvl w:val="0"/>
          <w:numId w:val="57"/>
        </w:numPr>
        <w:spacing w:line="360" w:lineRule="auto"/>
      </w:pPr>
      <w:r w:rsidRPr="00E30147">
        <w:t xml:space="preserve">Obstaranie dôkazu: </w:t>
      </w:r>
    </w:p>
    <w:p w:rsidR="00E30147" w:rsidRPr="00E30147" w:rsidRDefault="00E30147" w:rsidP="00B560E4">
      <w:pPr>
        <w:pStyle w:val="Zkladntext"/>
        <w:numPr>
          <w:ilvl w:val="0"/>
          <w:numId w:val="58"/>
        </w:numPr>
        <w:spacing w:line="360" w:lineRule="auto"/>
      </w:pPr>
      <w:r w:rsidRPr="00E30147">
        <w:t xml:space="preserve">výsluch svedkov - svedkom je každá fyzická osoba, ktorá nie je účastníkom konania, avšak vypovedá o skutočnostiach majúcich vzťah k prejednávanej veci. Je predvolaná správnym orgánom a poučená o možnostiach odoprenia výpovede (napr. v prípade nebezpečenstva trestného stíhania samého seba alebo jemu blízkych osôb, porušenia štátneho, hospodárskeho alebo služobného tajomstva), o povinnosti nič nezamlčovať ako aj o právnych následkoch nepravdivej či neúplnej výpovede (možné obvinenie z priestupku proti poriadku v štátnej správe a uloženie peňažnej pokuty).   </w:t>
      </w:r>
    </w:p>
    <w:p w:rsidR="00E30147" w:rsidRPr="00E30147" w:rsidRDefault="00E30147" w:rsidP="00B560E4">
      <w:pPr>
        <w:pStyle w:val="Zkladntext"/>
        <w:numPr>
          <w:ilvl w:val="0"/>
          <w:numId w:val="58"/>
        </w:numPr>
        <w:spacing w:line="360" w:lineRule="auto"/>
      </w:pPr>
      <w:r w:rsidRPr="00E30147">
        <w:t xml:space="preserve">znalecký posudok - znalcom je osoba disponujúca odbornými znalosťami a vyhotovujúca posudok, ktorú správny orgán ustanoví v prípade odborného posúdenia skutočností nevyhnutných pre rozhodnutie. Správny orgán môže znalca predvolať, a to v prípade potvrdenia, doplnenia príp. bližšieho vysvetlenia posudku. </w:t>
      </w:r>
    </w:p>
    <w:p w:rsidR="00E30147" w:rsidRPr="00E30147" w:rsidRDefault="00E30147" w:rsidP="00B560E4">
      <w:pPr>
        <w:pStyle w:val="Zkladntext"/>
        <w:numPr>
          <w:ilvl w:val="0"/>
          <w:numId w:val="58"/>
        </w:numPr>
        <w:spacing w:line="360" w:lineRule="auto"/>
      </w:pPr>
      <w:r w:rsidRPr="00E30147">
        <w:t xml:space="preserve">listiny - najbežnejšie dôkazné prostriedky v správnom konaní môžu byť verejné, vydané štátnym orgánom alebo ich charakter priamo vyplýva zo zákona, pri ktorých sa predpokladá ich pravdivosť, alebo súkromné. Ak účastník konania bezdôvodne odmietne preloženie listiny, správny orgán mu uloží túto povinnosť rozhodnutím a následne ju odníme. </w:t>
      </w:r>
    </w:p>
    <w:p w:rsidR="00E30147" w:rsidRPr="00E30147" w:rsidRDefault="00E30147" w:rsidP="00B560E4">
      <w:pPr>
        <w:pStyle w:val="Zkladntext"/>
        <w:numPr>
          <w:ilvl w:val="0"/>
          <w:numId w:val="58"/>
        </w:numPr>
        <w:spacing w:line="360" w:lineRule="auto"/>
      </w:pPr>
      <w:r w:rsidRPr="00E30147">
        <w:lastRenderedPageBreak/>
        <w:t xml:space="preserve">ohliadka - predmetom ohliadky, o ktorej správny orgán spíše zápisnicu, sú všetky hnuteľné a nehnuteľné veci, ktoré vlastník alebo užívateľ musí predložiť správnemu orgánu alebo musí v prípade nehnuteľností strpieť ich ohliadku priamo na mieste, pričom k nim musí umožniť prístup správnemu orgánu, účastníkom konania, svedkom a znalcom (v opačnom prípade mu správny orgán uloží túto povinnosť rozhodnutím).    </w:t>
      </w:r>
    </w:p>
    <w:p w:rsidR="00E30147" w:rsidRPr="00E30147" w:rsidRDefault="00E30147" w:rsidP="00B560E4">
      <w:pPr>
        <w:pStyle w:val="Zkladntext"/>
        <w:numPr>
          <w:ilvl w:val="0"/>
          <w:numId w:val="57"/>
        </w:numPr>
        <w:spacing w:line="360" w:lineRule="auto"/>
      </w:pPr>
      <w:r w:rsidRPr="00E30147">
        <w:t>Vykonanie dôkazu:</w:t>
      </w:r>
    </w:p>
    <w:p w:rsidR="00E30147" w:rsidRPr="00E30147" w:rsidRDefault="00E30147" w:rsidP="00B560E4">
      <w:pPr>
        <w:pStyle w:val="Zkladntext"/>
        <w:numPr>
          <w:ilvl w:val="0"/>
          <w:numId w:val="59"/>
        </w:numPr>
        <w:spacing w:line="360" w:lineRule="auto"/>
      </w:pPr>
      <w:r w:rsidRPr="00E30147">
        <w:t>predvolanie - prostriedok, ktorým si správny orgán zabezpečuje nevyhnutnú osobnú prítomnosť na ústnom pojednávaní, na výsluchu, ako aj na ohliadke. Predvolanie musí obsahovať určité náležitosti: predvolávajúci a jeho podpis, predvolávaný, čas, miesto, vec a poučenie o právnych následkoch nedostavenia</w:t>
      </w:r>
      <w:r w:rsidR="005E610B">
        <w:t xml:space="preserve">. </w:t>
      </w:r>
    </w:p>
    <w:p w:rsidR="00E30147" w:rsidRPr="00E30147" w:rsidRDefault="00E30147" w:rsidP="00B560E4">
      <w:pPr>
        <w:pStyle w:val="Zkladntext"/>
        <w:numPr>
          <w:ilvl w:val="0"/>
          <w:numId w:val="59"/>
        </w:numPr>
        <w:spacing w:line="360" w:lineRule="auto"/>
      </w:pPr>
      <w:r w:rsidRPr="00E30147">
        <w:t xml:space="preserve">predvedenie - prostriedok, prostredníctvom ktorého správny orgán zabezpečí fyzickú prítomnosť účastníkov konania a svedkov, ktorí sa bezdôvodne alebo bez ospravedlnenia nedostavili na opätovné predvolanie. Predvedenie zabezpečí Policajný zbor SR.   </w:t>
      </w:r>
    </w:p>
    <w:p w:rsidR="00E30147" w:rsidRPr="00E30147" w:rsidRDefault="00E30147" w:rsidP="00B560E4">
      <w:pPr>
        <w:pStyle w:val="Zkladntext"/>
        <w:numPr>
          <w:ilvl w:val="0"/>
          <w:numId w:val="59"/>
        </w:numPr>
        <w:spacing w:line="360" w:lineRule="auto"/>
      </w:pPr>
      <w:r w:rsidRPr="00E30147">
        <w:t xml:space="preserve">predbežné opatrenie - dočasné rozhodnutie pre zachovanie nezmenených podmienok potrebných na vydanie rozhodnutia, prostredníctvom ktorého správny orgán ukladá účastníkom konania aby niečo vykonali, niečoho sa zdržali, niečo strpeli alebo zabezpečuje zachovanie existujúceho stavu veci. Zrušiť sa musí ihneď, len čo pominie jeho dôvod, inak zo zákona zaniká rozhodnutím v danej veci. </w:t>
      </w:r>
    </w:p>
    <w:p w:rsidR="00E30147" w:rsidRPr="005E610B" w:rsidRDefault="00E30147" w:rsidP="00B560E4">
      <w:pPr>
        <w:pStyle w:val="Zkladntext"/>
        <w:numPr>
          <w:ilvl w:val="0"/>
          <w:numId w:val="59"/>
        </w:numPr>
        <w:spacing w:line="360" w:lineRule="auto"/>
      </w:pPr>
      <w:r w:rsidRPr="00E30147">
        <w:t xml:space="preserve">poriadkové opatrenia - prostriedky (poriadková pokuta a vykázanie osôb z miesta pojednávania), ktoré správny orgán ukladá voči všetkým osobám sťažujúcim priebeh správneho konania.   </w:t>
      </w:r>
    </w:p>
    <w:p w:rsidR="00E30147" w:rsidRPr="005E610B" w:rsidRDefault="00E30147" w:rsidP="00B560E4">
      <w:pPr>
        <w:pStyle w:val="Zkladntext"/>
        <w:numPr>
          <w:ilvl w:val="0"/>
          <w:numId w:val="57"/>
        </w:numPr>
        <w:spacing w:line="360" w:lineRule="auto"/>
      </w:pPr>
      <w:r w:rsidRPr="005E610B">
        <w:t xml:space="preserve">Hodnotenie vykonaných dôkazov.   </w:t>
      </w:r>
    </w:p>
    <w:p w:rsidR="00E30147" w:rsidRPr="00E30147" w:rsidRDefault="00E30147" w:rsidP="00E30147">
      <w:pPr>
        <w:pStyle w:val="Zkladntext"/>
        <w:spacing w:line="360" w:lineRule="auto"/>
      </w:pPr>
      <w:r w:rsidRPr="00E30147">
        <w:t>Správny orgán navyše musí rešpektovať práva všetkých účastníkov konania, ktorí sú oprávnení:</w:t>
      </w:r>
    </w:p>
    <w:p w:rsidR="00E30147" w:rsidRPr="00E30147" w:rsidRDefault="00E30147" w:rsidP="00B560E4">
      <w:pPr>
        <w:pStyle w:val="Zkladntext"/>
        <w:numPr>
          <w:ilvl w:val="0"/>
          <w:numId w:val="60"/>
        </w:numPr>
        <w:spacing w:line="360" w:lineRule="auto"/>
      </w:pPr>
      <w:r w:rsidRPr="00E30147">
        <w:t>navrhovať dôkazy</w:t>
      </w:r>
      <w:r w:rsidRPr="00E30147">
        <w:rPr>
          <w:lang w:val="en-US"/>
        </w:rPr>
        <w:t>;</w:t>
      </w:r>
    </w:p>
    <w:p w:rsidR="00E30147" w:rsidRPr="00E30147" w:rsidRDefault="00E30147" w:rsidP="00B560E4">
      <w:pPr>
        <w:pStyle w:val="Zkladntext"/>
        <w:numPr>
          <w:ilvl w:val="0"/>
          <w:numId w:val="60"/>
        </w:numPr>
        <w:spacing w:line="360" w:lineRule="auto"/>
      </w:pPr>
      <w:r w:rsidRPr="00E30147">
        <w:t>položiť otázky svedkom a znalcom pri miestnej ohliadke a ústnom pojednávaní;</w:t>
      </w:r>
    </w:p>
    <w:p w:rsidR="00E30147" w:rsidRPr="00E30147" w:rsidRDefault="00E30147" w:rsidP="00B560E4">
      <w:pPr>
        <w:pStyle w:val="Zkladntext"/>
        <w:numPr>
          <w:ilvl w:val="0"/>
          <w:numId w:val="60"/>
        </w:numPr>
        <w:spacing w:line="360" w:lineRule="auto"/>
      </w:pPr>
      <w:r w:rsidRPr="00E30147">
        <w:t>vyjadriť sa k podkladu, k spôsobe zistenia a navrhnúť doplnenie rozhodnutia ešte pred jeho samotným vydaním.</w:t>
      </w:r>
    </w:p>
    <w:p w:rsidR="00E30147" w:rsidRPr="00E30147" w:rsidRDefault="00E30147" w:rsidP="00E30147">
      <w:pPr>
        <w:pStyle w:val="Zkladntext"/>
        <w:spacing w:line="360" w:lineRule="auto"/>
        <w:ind w:firstLine="708"/>
      </w:pPr>
      <w:r w:rsidRPr="00E30147">
        <w:t>Poslednou fázou prvostupňového konania je fáza rozhodovania, výsledkom ktorého je na základe zistenia skutkovej podstaty rozhodnutie vo veci:</w:t>
      </w:r>
    </w:p>
    <w:p w:rsidR="00E30147" w:rsidRPr="00E30147" w:rsidRDefault="00E30147" w:rsidP="00B560E4">
      <w:pPr>
        <w:pStyle w:val="Zkladntext"/>
        <w:numPr>
          <w:ilvl w:val="0"/>
          <w:numId w:val="61"/>
        </w:numPr>
        <w:spacing w:line="360" w:lineRule="auto"/>
      </w:pPr>
      <w:r w:rsidRPr="00E30147">
        <w:lastRenderedPageBreak/>
        <w:t>rozhodnutie vo veci samej (in merito) - obsahuje všetky náležitosti rozhodnutia (výrok, odôvodnenie a poučenie) a je vydávané právnym orgánom na konci správneho konania</w:t>
      </w:r>
      <w:r w:rsidRPr="00E30147">
        <w:rPr>
          <w:lang w:val="en-US"/>
        </w:rPr>
        <w:t>;</w:t>
      </w:r>
    </w:p>
    <w:p w:rsidR="00E30147" w:rsidRPr="00E30147" w:rsidRDefault="00E30147" w:rsidP="00B560E4">
      <w:pPr>
        <w:pStyle w:val="Zkladntext"/>
        <w:numPr>
          <w:ilvl w:val="0"/>
          <w:numId w:val="61"/>
        </w:numPr>
        <w:spacing w:line="360" w:lineRule="auto"/>
      </w:pPr>
      <w:r w:rsidRPr="00E30147">
        <w:t>procesné rozhodnutie - neobsahuje výrok o veci, ktorá je predmetom správneho konania a je vydávané správnym orgánom zvyčajne v priebehu konania (napr. rozhodnutie o prerušení/zastavení konania či rozhodnutie o poriadkovej pokute).</w:t>
      </w:r>
    </w:p>
    <w:p w:rsidR="00E30147" w:rsidRPr="00E30147" w:rsidRDefault="00E30147" w:rsidP="00E30147">
      <w:pPr>
        <w:pStyle w:val="Zkladntext"/>
        <w:spacing w:line="360" w:lineRule="auto"/>
        <w:ind w:firstLine="708"/>
      </w:pPr>
      <w:r w:rsidRPr="00E30147">
        <w:t>Právne účinky rozhodnutia nastávajú dňom jeho oznámenia účastníkovi konania (stáva sa platným), odkedy účastníkovi plynie lehota na podanie opravného prostriedku</w:t>
      </w:r>
      <w:r w:rsidRPr="00E30147">
        <w:rPr>
          <w:lang w:val="en-US"/>
        </w:rPr>
        <w:t>;</w:t>
      </w:r>
      <w:r w:rsidRPr="00E30147">
        <w:t xml:space="preserve"> v prípade jeho odňatia plynie lehota na plnenie. Právoplatným sa rozhodnutie stáva až konečným vyriešením veci, proti ktorému sa už nemožno odvolať, nasleduje teda jeho vykonateľnosť. Správny poriadok určuje správnemu orgánu na vydanie rozhodnutia lehoty:</w:t>
      </w:r>
    </w:p>
    <w:p w:rsidR="00E30147" w:rsidRPr="00E30147" w:rsidRDefault="00E30147" w:rsidP="00B560E4">
      <w:pPr>
        <w:pStyle w:val="Zkladntext"/>
        <w:numPr>
          <w:ilvl w:val="0"/>
          <w:numId w:val="62"/>
        </w:numPr>
        <w:spacing w:line="360" w:lineRule="auto"/>
      </w:pPr>
      <w:r w:rsidRPr="00E30147">
        <w:t>v prípade jednoduchých vecí bezodkladne</w:t>
      </w:r>
      <w:r w:rsidRPr="00E30147">
        <w:rPr>
          <w:lang w:val="en-US"/>
        </w:rPr>
        <w:t>;</w:t>
      </w:r>
    </w:p>
    <w:p w:rsidR="00E30147" w:rsidRPr="00E30147" w:rsidRDefault="00E30147" w:rsidP="00B560E4">
      <w:pPr>
        <w:pStyle w:val="Zkladntext"/>
        <w:numPr>
          <w:ilvl w:val="0"/>
          <w:numId w:val="62"/>
        </w:numPr>
        <w:spacing w:line="360" w:lineRule="auto"/>
      </w:pPr>
      <w:r w:rsidRPr="00E30147">
        <w:t>pri ostatných veciach do 30 dní od začatia správneho konania;</w:t>
      </w:r>
    </w:p>
    <w:p w:rsidR="00E30147" w:rsidRPr="00E30147" w:rsidRDefault="00E30147" w:rsidP="00B560E4">
      <w:pPr>
        <w:pStyle w:val="Zkladntext"/>
        <w:numPr>
          <w:ilvl w:val="0"/>
          <w:numId w:val="62"/>
        </w:numPr>
        <w:spacing w:line="360" w:lineRule="auto"/>
      </w:pPr>
      <w:r w:rsidRPr="00E30147">
        <w:t>pri zložitých veciach do 60 dní príp. primerané predĺženie lehoty.</w:t>
      </w:r>
    </w:p>
    <w:p w:rsidR="00E30147" w:rsidRDefault="00E30147" w:rsidP="00E30147">
      <w:pPr>
        <w:spacing w:before="0"/>
        <w:contextualSpacing/>
      </w:pPr>
      <w:r w:rsidRPr="00E30147">
        <w:t>Ak správny orgán nemôže rozhodnúť bezodkladne, je povinný uviesť dôvody predĺženia a lehotu rozhodnutia vo veci a upovedomiť o tom účastníka konania.</w:t>
      </w:r>
    </w:p>
    <w:p w:rsidR="00E30147" w:rsidRDefault="00E30147" w:rsidP="006803C0">
      <w:pPr>
        <w:spacing w:before="0"/>
        <w:contextualSpacing/>
      </w:pPr>
    </w:p>
    <w:p w:rsidR="00B87D4E" w:rsidRPr="00597443" w:rsidRDefault="00B87D4E" w:rsidP="00B87D4E">
      <w:pPr>
        <w:pStyle w:val="Nadpis4"/>
      </w:pPr>
      <w:r>
        <w:t>Druhostupňové konanie</w:t>
      </w:r>
    </w:p>
    <w:p w:rsidR="00B87D4E" w:rsidRPr="00B87D4E" w:rsidRDefault="00B87D4E" w:rsidP="00B87D4E">
      <w:pPr>
        <w:pStyle w:val="Zkladntext"/>
        <w:spacing w:line="360" w:lineRule="auto"/>
        <w:ind w:firstLine="709"/>
      </w:pPr>
      <w:r w:rsidRPr="00B87D4E">
        <w:t>Správny poriadok upravuje správne konanie aj v druhom stupni, kedy prostredníctvom nadriadených správnych orgánov preskúmava správnosť a zákonnosť vydaných rozhodnutí, na základe čoho môžeme opravné prostriedky členiť na:</w:t>
      </w:r>
    </w:p>
    <w:p w:rsidR="00B87D4E" w:rsidRPr="00B87D4E" w:rsidRDefault="00B87D4E" w:rsidP="00B560E4">
      <w:pPr>
        <w:pStyle w:val="Zkladntext"/>
        <w:numPr>
          <w:ilvl w:val="0"/>
          <w:numId w:val="63"/>
        </w:numPr>
        <w:spacing w:line="360" w:lineRule="auto"/>
      </w:pPr>
      <w:r w:rsidRPr="00B87D4E">
        <w:t xml:space="preserve">Riadne - podať odvolanie proti rozhodnutiu, ktoré ešte nenadobudlo právoplatnosť, je možné na príslušnom správnom orgáne, ktorý napadnuté rozhodnutie vydal, a to v lehote 15 dní od okamihu oznámenia rozhodnutia. Ak správny orgán zistí, že odvolanie je opodstatnené a možno mu vyhovieť v plnom rozsahu, je oprávnený svoje pôvodné rozhodnutie zmeniť alebo zrušiť a následne vydať nové rozhodnutie (autoremedúra). </w:t>
      </w:r>
    </w:p>
    <w:p w:rsidR="00B87D4E" w:rsidRPr="00B87D4E" w:rsidRDefault="00B87D4E" w:rsidP="00B560E4">
      <w:pPr>
        <w:pStyle w:val="Zkladntext"/>
        <w:numPr>
          <w:ilvl w:val="0"/>
          <w:numId w:val="64"/>
        </w:numPr>
        <w:spacing w:line="360" w:lineRule="auto"/>
      </w:pPr>
      <w:r w:rsidRPr="00B87D4E">
        <w:t xml:space="preserve">odvolacie konanie - ak však správny orgán zistí, že odvolanie je len čiastočne opodstatnené, posunie odvolanie jemu najbližšie nadriadenému správnemu orgánu, kompetentnému v danej veci rozhodnúť (devolutívny účinok). Odvolací orgán môže rozhodnutie prvostupňového orgánu: zmeniť alebo zrušiť a napadnuté rozhodnutie nahradiť svojím vlastným rozhodnutím, zrušiť </w:t>
      </w:r>
      <w:r w:rsidRPr="00B87D4E">
        <w:lastRenderedPageBreak/>
        <w:t xml:space="preserve">a následne mu vrátiť na nové prejednávanie alebo potvrdiť, a tým odvolanie zamietnuť. Proti rozhodnutiu odvolacieho orgánu nie je možné podať riadny opravný prostriedok, je teda konečné a právoplatné. </w:t>
      </w:r>
    </w:p>
    <w:p w:rsidR="00B87D4E" w:rsidRPr="00B87D4E" w:rsidRDefault="00B87D4E" w:rsidP="00B560E4">
      <w:pPr>
        <w:pStyle w:val="Zkladntext"/>
        <w:numPr>
          <w:ilvl w:val="0"/>
          <w:numId w:val="64"/>
        </w:numPr>
        <w:spacing w:line="360" w:lineRule="auto"/>
      </w:pPr>
      <w:r w:rsidRPr="00B87D4E">
        <w:t xml:space="preserve">konanie o rozklade - keďže nespôsobuje devolutívny účinok (neexistuje druhý stupeň - odvolací orgán), proti rozhodnutiam ústredných orgánov štátnej správy je oprávnený rozhodovať minister resp. vedúci prvostupňového orgánu.  </w:t>
      </w:r>
    </w:p>
    <w:p w:rsidR="00B87D4E" w:rsidRPr="00B87D4E" w:rsidRDefault="00B87D4E" w:rsidP="00B560E4">
      <w:pPr>
        <w:pStyle w:val="Zkladntext"/>
        <w:numPr>
          <w:ilvl w:val="0"/>
          <w:numId w:val="63"/>
        </w:numPr>
        <w:spacing w:line="360" w:lineRule="auto"/>
      </w:pPr>
      <w:r w:rsidRPr="00B87D4E">
        <w:t>Mimoriadne:</w:t>
      </w:r>
    </w:p>
    <w:p w:rsidR="00B87D4E" w:rsidRPr="00B87D4E" w:rsidRDefault="00B87D4E" w:rsidP="00B560E4">
      <w:pPr>
        <w:pStyle w:val="Zkladntext"/>
        <w:numPr>
          <w:ilvl w:val="0"/>
          <w:numId w:val="65"/>
        </w:numPr>
        <w:spacing w:line="360" w:lineRule="auto"/>
      </w:pPr>
      <w:r w:rsidRPr="00B87D4E">
        <w:t xml:space="preserve">obnova konania - ide o nápravu právoplatného rozhodnutia. Účastník konania podá návrh na obnovu konania do 3 mesiacov odo dňa dovedenia sa dôvodov, najneskôr však do 3 rokov od právoplatnosti rozhodnutia (po uplynutí 3 rokov len ak sa rozhodnutie dosiahlo trestným činom), ktorý povolí alebo sám nariadi správny orgán rozhodujúci v poslednom stupni, pričom proti jeho rozhodnutiu je možné podať opravný prostriedok.  </w:t>
      </w:r>
    </w:p>
    <w:p w:rsidR="00B87D4E" w:rsidRPr="00B87D4E" w:rsidRDefault="00B87D4E" w:rsidP="00B560E4">
      <w:pPr>
        <w:pStyle w:val="Zkladntext"/>
        <w:numPr>
          <w:ilvl w:val="0"/>
          <w:numId w:val="65"/>
        </w:numPr>
        <w:spacing w:line="360" w:lineRule="auto"/>
      </w:pPr>
      <w:r w:rsidRPr="00B87D4E">
        <w:t xml:space="preserve">preskúmavanie rozhodnutia mimo odvolacieho konania - najbližšie nadriadený správny orgán odstraňuje právne omyly, ktorých sa dopustil správny orgán vo svojom pôvodnom rozhodnutí, a to v lehote do 3 rokov od právoplatnosti rozhodnutia. </w:t>
      </w:r>
    </w:p>
    <w:p w:rsidR="00B87D4E" w:rsidRPr="00B87D4E" w:rsidRDefault="00B87D4E" w:rsidP="00B560E4">
      <w:pPr>
        <w:pStyle w:val="Zkladntext"/>
        <w:numPr>
          <w:ilvl w:val="0"/>
          <w:numId w:val="65"/>
        </w:numPr>
        <w:spacing w:line="360" w:lineRule="auto"/>
      </w:pPr>
      <w:r w:rsidRPr="00B87D4E">
        <w:t xml:space="preserve">konanie o proteste prokurátora - podať protest proti prvostupňovému aj druhostupňovému rozhodnutiu správneho orgánu môže len prokurátor, a to do 5 rokov od vydania rozhodnutia. Správny orgán, ktorý vydal napadnuté rozhodnutie, môže v súlade so zákonom vyhovieť protestu prokurátora zrušením resp. nahradením svojho rozhodnutia alebo nevyhovieť a do 30 dní ho predložiť spolu s protestom prokurátora najbližšie nadriadenému správnemu orgánu. Proti rozhodnutiu o proteste prokurátora je možné podať zo strany účastníkov konania opravný prostriedok, pri nevyhoveniu protestu sa pripúšťa zo strany prokurátora podanie nového protestu.      </w:t>
      </w:r>
    </w:p>
    <w:p w:rsidR="00B87D4E" w:rsidRPr="00B87D4E" w:rsidRDefault="00B87D4E" w:rsidP="00B560E4">
      <w:pPr>
        <w:pStyle w:val="Zkladntext"/>
        <w:numPr>
          <w:ilvl w:val="0"/>
          <w:numId w:val="65"/>
        </w:numPr>
        <w:spacing w:line="360" w:lineRule="auto"/>
      </w:pPr>
      <w:r w:rsidRPr="00B87D4E">
        <w:t xml:space="preserve">preskúmavanie rozhodnutia správneho orgánu súdom - súd môže preskúmať právoplatné rozhodnutie správneho orgánu len v tom prípade, ak už boli vyčerpané všetky prípustné riadne opravné prostriedky. Ak zistí vadnosť rozhodnutia, zruší ho a naspäť pošle správnemu orgánu (tzv. kasačný princíp). Účastník konania však musí podať žalobu do 2 mesiacov od doručenia rozhodnutia správneho orgánu v poslednom stupni. </w:t>
      </w:r>
    </w:p>
    <w:p w:rsidR="00B87D4E" w:rsidRDefault="00B87D4E" w:rsidP="00B87D4E">
      <w:pPr>
        <w:pStyle w:val="Zkladntext"/>
        <w:spacing w:line="360" w:lineRule="auto"/>
        <w:ind w:firstLine="708"/>
      </w:pPr>
    </w:p>
    <w:p w:rsidR="00B87D4E" w:rsidRPr="00B87D4E" w:rsidRDefault="00B87D4E" w:rsidP="00B87D4E">
      <w:pPr>
        <w:pStyle w:val="Zkladntext"/>
        <w:spacing w:line="360" w:lineRule="auto"/>
        <w:ind w:firstLine="708"/>
      </w:pPr>
      <w:r w:rsidRPr="00B87D4E">
        <w:lastRenderedPageBreak/>
        <w:t xml:space="preserve">Poslednou fázou správneho konania je výkon rozhodnutia, ktorý možno nariadiť najneskôr do 3 rokov po uplynutí lehoty určenej na splnenie uloženej povinnosti. Podľa správneho poriadku sa uskutočňuje na základe exekučného príkazu, vydaného buď na návrh účastníka konania alebo na podnet správneho orgánu, ktorý vo veci rozhodol v prvom stupni. Výkon rozhodnutia sa začína doručením exekučného príkazu povinnému a pri jeho samotnom výkone sa použijú prostriedky, ktoré ho čo najmenej postihujú, a pritom vedú k splneniu cieľa:  </w:t>
      </w:r>
    </w:p>
    <w:p w:rsidR="00B87D4E" w:rsidRPr="00B87D4E" w:rsidRDefault="00B87D4E" w:rsidP="00B560E4">
      <w:pPr>
        <w:pStyle w:val="Zkladntext"/>
        <w:numPr>
          <w:ilvl w:val="0"/>
          <w:numId w:val="66"/>
        </w:numPr>
        <w:spacing w:line="360" w:lineRule="auto"/>
      </w:pPr>
      <w:r w:rsidRPr="00B87D4E">
        <w:t>peňažné - zaplatenie pokuty, správneho poplatku účastníkovi konania alebo správnemu orgánu</w:t>
      </w:r>
      <w:r w:rsidRPr="00B87D4E">
        <w:rPr>
          <w:lang w:val="en-US"/>
        </w:rPr>
        <w:t>;</w:t>
      </w:r>
    </w:p>
    <w:p w:rsidR="00B87D4E" w:rsidRPr="00B87D4E" w:rsidRDefault="00B87D4E" w:rsidP="00B560E4">
      <w:pPr>
        <w:pStyle w:val="Zkladntext"/>
        <w:numPr>
          <w:ilvl w:val="0"/>
          <w:numId w:val="66"/>
        </w:numPr>
        <w:spacing w:line="360" w:lineRule="auto"/>
      </w:pPr>
      <w:r w:rsidRPr="00B87D4E">
        <w:t>nepeňažné - vykonanie nejakej činnosti.</w:t>
      </w:r>
    </w:p>
    <w:p w:rsidR="00E30147" w:rsidRDefault="00E30147" w:rsidP="006803C0">
      <w:pPr>
        <w:spacing w:before="0"/>
        <w:contextualSpacing/>
      </w:pPr>
    </w:p>
    <w:p w:rsidR="007D12E4" w:rsidRPr="00CC7A6C" w:rsidRDefault="007D12E4" w:rsidP="00CF141A">
      <w:pPr>
        <w:pStyle w:val="ZPPodNadpisKapitolyTimesNewRoman"/>
      </w:pPr>
      <w:r>
        <w:t>Správa na úseku živnostenského podnikania</w:t>
      </w:r>
    </w:p>
    <w:p w:rsidR="007D12E4" w:rsidRDefault="007D12E4" w:rsidP="007D12E4">
      <w:pPr>
        <w:ind w:firstLine="708"/>
      </w:pPr>
      <w:r w:rsidRPr="00344365">
        <w:t xml:space="preserve">Zákon č. 71/1967 Zb. o správnom konaní (správny poriadok) je síce základným procesným predpisom pre verejnú správu, avšak jeho použitie si v osobitných konaniach vyžaduje znalosť osobitných úprav správneho konania, najmä živnostenského konania. Jedným zo základných zákonov, ktoré upravujú správu na úseku živnostenského podnikania je zákon </w:t>
      </w:r>
      <w:r>
        <w:t xml:space="preserve">     </w:t>
      </w:r>
      <w:r w:rsidRPr="00344365">
        <w:t>č. 455/1991 Zb. o živnostenskom podnikaní, inak tiež nazývaný ako živnostenský zákon.</w:t>
      </w:r>
      <w:r>
        <w:t xml:space="preserve"> Tento zákon sa člení na niekoľko častí: je zložený zo 6 častí, 21 hláv, 3 dielov a 5 príloh. </w:t>
      </w:r>
    </w:p>
    <w:p w:rsidR="007D12E4" w:rsidRPr="007D12E4" w:rsidRDefault="007D12E4" w:rsidP="007D12E4">
      <w:pPr>
        <w:pStyle w:val="Zkladntext"/>
        <w:spacing w:line="360" w:lineRule="auto"/>
        <w:ind w:firstLine="708"/>
      </w:pPr>
      <w:r w:rsidRPr="007D12E4">
        <w:t>Podobne ako v iných zákonoch, aj v živnostenskom zákone prebiehali zmeny, prešiel viacerými novelizáciami. Poslednou novelizáciou prešiel zákon tohto roku, t.j. 1. apríla 2010. Novela zaviedla určité zmeny, ktoré sa dotýkajú v podstatnej miere podnikateľov. K najdôležitejšej zmene dochádza v oblasti vydávania živnostenského oprávnenia, pre podnikateľov totiž zaviedla vydávanie „osvedčení“, kde budú vymenované všetky živnosti.</w:t>
      </w:r>
    </w:p>
    <w:p w:rsidR="007D12E4" w:rsidRPr="00344365" w:rsidRDefault="007D12E4" w:rsidP="007D12E4">
      <w:pPr>
        <w:ind w:firstLine="708"/>
      </w:pPr>
      <w:r w:rsidRPr="00103D79">
        <w:t>Na úseku živnostenského podnikania sa stretávame tak so vzťahmi súkromnoprávnej povahy (upravovaných občianskym, pracovným a obchodným právom), ako aj verejnoprávnej povahy (upravovaných ústavným, správnym a finančným právom), ktorých obsahom sú verejno-správne a správno-právne vzťahy. Tie vznikajú, menia sa a zanikajú v procese výkonu verejnej správy orgánmi verejnej správy, kompetentnými v oblasti živnostenského podnikania.</w:t>
      </w:r>
      <w:r>
        <w:t xml:space="preserve"> Ich h</w:t>
      </w:r>
      <w:r w:rsidRPr="00344365">
        <w:t>lavn</w:t>
      </w:r>
      <w:r>
        <w:t>á</w:t>
      </w:r>
      <w:r w:rsidRPr="00344365">
        <w:t xml:space="preserve"> funkci</w:t>
      </w:r>
      <w:r>
        <w:t>a spočíva</w:t>
      </w:r>
      <w:r w:rsidRPr="00344365">
        <w:t xml:space="preserve"> </w:t>
      </w:r>
      <w:r>
        <w:t>v</w:t>
      </w:r>
      <w:r w:rsidRPr="00344365">
        <w:t xml:space="preserve"> ochran</w:t>
      </w:r>
      <w:r>
        <w:t>e</w:t>
      </w:r>
      <w:r w:rsidRPr="00344365">
        <w:t xml:space="preserve"> verejných záujmov, života, zdravia a bezpečnosti občanov, ako aj </w:t>
      </w:r>
      <w:r w:rsidRPr="00344365">
        <w:lastRenderedPageBreak/>
        <w:t>vytváran</w:t>
      </w:r>
      <w:r>
        <w:t>í</w:t>
      </w:r>
      <w:r w:rsidRPr="00344365">
        <w:t xml:space="preserve"> vhodných podmienok </w:t>
      </w:r>
      <w:r>
        <w:t>pre rozvoj podnikateľskej sféry, j</w:t>
      </w:r>
      <w:r w:rsidRPr="00344365">
        <w:t>adrom ich výkonu</w:t>
      </w:r>
      <w:r>
        <w:t xml:space="preserve"> je teda</w:t>
      </w:r>
      <w:r w:rsidRPr="00344365">
        <w:t>:   </w:t>
      </w:r>
    </w:p>
    <w:p w:rsidR="007D12E4" w:rsidRPr="00344365" w:rsidRDefault="007D12E4" w:rsidP="00B560E4">
      <w:pPr>
        <w:numPr>
          <w:ilvl w:val="0"/>
          <w:numId w:val="67"/>
        </w:numPr>
        <w:spacing w:before="0"/>
      </w:pPr>
      <w:r w:rsidRPr="00344365">
        <w:t>konanie vo veciach ohlasovacích a koncesovaných živnosti</w:t>
      </w:r>
      <w:r w:rsidRPr="00344365">
        <w:rPr>
          <w:lang w:val="en-US"/>
        </w:rPr>
        <w:t>;</w:t>
      </w:r>
    </w:p>
    <w:p w:rsidR="007D12E4" w:rsidRPr="00344365" w:rsidRDefault="007D12E4" w:rsidP="00B560E4">
      <w:pPr>
        <w:numPr>
          <w:ilvl w:val="0"/>
          <w:numId w:val="67"/>
        </w:numPr>
        <w:spacing w:before="0"/>
      </w:pPr>
      <w:r w:rsidRPr="00344365">
        <w:t>kontrolná činnosť voči podnikateľom so živnostenským oprávnením;</w:t>
      </w:r>
    </w:p>
    <w:p w:rsidR="007D12E4" w:rsidRPr="00344365" w:rsidRDefault="007D12E4" w:rsidP="00B560E4">
      <w:pPr>
        <w:numPr>
          <w:ilvl w:val="0"/>
          <w:numId w:val="67"/>
        </w:numPr>
        <w:spacing w:before="0"/>
      </w:pPr>
      <w:r w:rsidRPr="00344365">
        <w:t>uplatňovanie administratívno-právnej zodpovednosti za správne delikty na tomto úseku;</w:t>
      </w:r>
    </w:p>
    <w:p w:rsidR="007D12E4" w:rsidRPr="00344365" w:rsidRDefault="007D12E4" w:rsidP="00B560E4">
      <w:pPr>
        <w:numPr>
          <w:ilvl w:val="0"/>
          <w:numId w:val="67"/>
        </w:numPr>
        <w:spacing w:before="0"/>
      </w:pPr>
      <w:r w:rsidRPr="00344365">
        <w:t>rozhodovanie o pozastavení, resp. zrušení živnostenského oprávnenia;</w:t>
      </w:r>
    </w:p>
    <w:p w:rsidR="007D12E4" w:rsidRDefault="007D12E4" w:rsidP="00B560E4">
      <w:pPr>
        <w:numPr>
          <w:ilvl w:val="0"/>
          <w:numId w:val="67"/>
        </w:numPr>
        <w:spacing w:before="0"/>
      </w:pPr>
      <w:r w:rsidRPr="00344365">
        <w:t xml:space="preserve">vedenie živnostenského registra; </w:t>
      </w:r>
    </w:p>
    <w:p w:rsidR="007D12E4" w:rsidRDefault="007D12E4" w:rsidP="00B560E4">
      <w:pPr>
        <w:numPr>
          <w:ilvl w:val="0"/>
          <w:numId w:val="67"/>
        </w:numPr>
        <w:spacing w:before="0"/>
      </w:pPr>
      <w:r w:rsidRPr="00344365">
        <w:t>fungovanie informačného systému voči ostatným subjektom verejnej správy.</w:t>
      </w:r>
    </w:p>
    <w:p w:rsidR="007D12E4" w:rsidRDefault="007D12E4" w:rsidP="006803C0">
      <w:pPr>
        <w:spacing w:before="0"/>
        <w:contextualSpacing/>
      </w:pPr>
    </w:p>
    <w:p w:rsidR="007D12E4" w:rsidRDefault="007D12E4" w:rsidP="00472F63">
      <w:pPr>
        <w:pStyle w:val="ZPPodNadpis3urovenTimesNewRoman"/>
      </w:pPr>
      <w:r>
        <w:t>Výkon živnostenského podnikania na centrálnej úrovni</w:t>
      </w:r>
    </w:p>
    <w:p w:rsidR="007D12E4" w:rsidRPr="00597443" w:rsidRDefault="007D12E4" w:rsidP="007D12E4">
      <w:pPr>
        <w:pStyle w:val="Nadpis4"/>
      </w:pPr>
      <w:r>
        <w:t>Pôsobnosť Ministerstva vnútra Slovenskej republiky</w:t>
      </w:r>
    </w:p>
    <w:p w:rsidR="007D12E4" w:rsidRPr="00344365" w:rsidRDefault="007D12E4" w:rsidP="007D12E4">
      <w:pPr>
        <w:ind w:firstLine="708"/>
        <w:contextualSpacing/>
      </w:pPr>
      <w:r w:rsidRPr="00344365">
        <w:t>Ministerstvo vnútra S</w:t>
      </w:r>
      <w:r>
        <w:t>R</w:t>
      </w:r>
      <w:r w:rsidRPr="00344365">
        <w:t xml:space="preserve"> ako ústredný orgán štátnej správy pre živnostenské podnikanie realizuje prostredníctvom svojho odboru - Odboru živnostenského podnikania tieto činnosti:</w:t>
      </w:r>
    </w:p>
    <w:p w:rsidR="007D12E4" w:rsidRPr="00344365" w:rsidRDefault="007D12E4" w:rsidP="00B560E4">
      <w:pPr>
        <w:numPr>
          <w:ilvl w:val="0"/>
          <w:numId w:val="68"/>
        </w:numPr>
        <w:spacing w:before="0"/>
        <w:contextualSpacing/>
      </w:pPr>
      <w:r w:rsidRPr="00344365">
        <w:t>riadi a kontroluje výkon štátnej správy v živnostenskom podnikaní</w:t>
      </w:r>
      <w:r w:rsidRPr="00344365">
        <w:rPr>
          <w:lang w:val="en-US"/>
        </w:rPr>
        <w:t>;</w:t>
      </w:r>
    </w:p>
    <w:p w:rsidR="007D12E4" w:rsidRPr="00344365" w:rsidRDefault="007D12E4" w:rsidP="00B560E4">
      <w:pPr>
        <w:numPr>
          <w:ilvl w:val="0"/>
          <w:numId w:val="68"/>
        </w:numPr>
        <w:spacing w:before="0"/>
        <w:contextualSpacing/>
      </w:pPr>
      <w:r w:rsidRPr="00344365">
        <w:t>spolupracuje s  ústrednými orgánmi a s právnickými osobami vo veciach živnostenského podnikania a pri zabezpečovaní jednotného uplatňovania právnych predpisov;</w:t>
      </w:r>
    </w:p>
    <w:p w:rsidR="007D12E4" w:rsidRPr="00344365" w:rsidRDefault="007D12E4" w:rsidP="00B560E4">
      <w:pPr>
        <w:numPr>
          <w:ilvl w:val="0"/>
          <w:numId w:val="68"/>
        </w:numPr>
        <w:spacing w:before="0"/>
        <w:contextualSpacing/>
      </w:pPr>
      <w:r w:rsidRPr="00344365">
        <w:t>zabezpečuje jednotný informačný systém v živnostenskom podnikaní a v rozsahu zodpovedajúcom vecnej pôsobnosti ústredných kontrolných, inšpekčných, dozorných a vyhľadávacích orgánov im na žiadosť poskytuje z tohto zoznamu jednorazové údaje, zabezpečuje zvyšovanie odbornosti zamestnancov obvodných úradov v živnostenskom podnikaní;</w:t>
      </w:r>
    </w:p>
    <w:p w:rsidR="007D12E4" w:rsidRPr="00344365" w:rsidRDefault="007D12E4" w:rsidP="00B560E4">
      <w:pPr>
        <w:numPr>
          <w:ilvl w:val="0"/>
          <w:numId w:val="68"/>
        </w:numPr>
        <w:spacing w:before="0"/>
        <w:contextualSpacing/>
      </w:pPr>
      <w:r w:rsidRPr="00344365">
        <w:t>osvedčuje hodnovernosť podpisu, funkcie osoby a pravosti pečate alebo odtlačku pečiatky na listinách vydávaných na úseku živnostenského podnikania;</w:t>
      </w:r>
    </w:p>
    <w:p w:rsidR="007D12E4" w:rsidRDefault="007D12E4" w:rsidP="00B560E4">
      <w:pPr>
        <w:numPr>
          <w:ilvl w:val="0"/>
          <w:numId w:val="68"/>
        </w:numPr>
        <w:spacing w:before="0"/>
        <w:contextualSpacing/>
      </w:pPr>
      <w:r w:rsidRPr="00344365">
        <w:t>nadobúda kompetencie pri riešení odvolaní proti rozhodnutiam obvodných úradov (pracoviská v Bratislave, Banskej Bystrici a Košiciach);</w:t>
      </w:r>
    </w:p>
    <w:p w:rsidR="007D12E4" w:rsidRPr="007D12E4" w:rsidRDefault="007D12E4" w:rsidP="00B560E4">
      <w:pPr>
        <w:numPr>
          <w:ilvl w:val="0"/>
          <w:numId w:val="68"/>
        </w:numPr>
        <w:spacing w:before="0"/>
        <w:contextualSpacing/>
      </w:pPr>
      <w:r w:rsidRPr="007D12E4">
        <w:t>spolupracuje pri príprave právnych predpisov EÚ dotýkajúcich sa živnostenského podnikania a zabezpečuje ich transpozíciu.</w:t>
      </w:r>
    </w:p>
    <w:p w:rsidR="007D12E4" w:rsidRDefault="007D12E4" w:rsidP="006803C0">
      <w:pPr>
        <w:spacing w:before="0"/>
        <w:contextualSpacing/>
      </w:pPr>
    </w:p>
    <w:p w:rsidR="007D12E4" w:rsidRDefault="007D12E4" w:rsidP="006803C0">
      <w:pPr>
        <w:spacing w:before="0"/>
        <w:contextualSpacing/>
      </w:pPr>
    </w:p>
    <w:p w:rsidR="007D12E4" w:rsidRDefault="007D12E4" w:rsidP="006803C0">
      <w:pPr>
        <w:spacing w:before="0"/>
        <w:contextualSpacing/>
      </w:pPr>
    </w:p>
    <w:p w:rsidR="007D12E4" w:rsidRPr="00597443" w:rsidRDefault="007D12E4" w:rsidP="007D12E4">
      <w:pPr>
        <w:pStyle w:val="Nadpis4"/>
      </w:pPr>
      <w:r>
        <w:lastRenderedPageBreak/>
        <w:t>Pôsobnosť Obvodného úradu</w:t>
      </w:r>
    </w:p>
    <w:p w:rsidR="007D12E4" w:rsidRPr="001C1809" w:rsidRDefault="007D12E4" w:rsidP="007D12E4">
      <w:pPr>
        <w:ind w:firstLine="709"/>
        <w:contextualSpacing/>
      </w:pPr>
      <w:r w:rsidRPr="001C1809">
        <w:t>Za ťažiskové orgány pri zabezpečovaní úloh vyplývajúcich zo živnostenského zákona považujeme obvodné úrady, nakoľko vykonávajú pôsobnosť živnostenského úradu v</w:t>
      </w:r>
      <w:r>
        <w:t xml:space="preserve"> </w:t>
      </w:r>
      <w:r w:rsidRPr="001C1809">
        <w:t>prvom stupni. Štátnu správu na tomto úseku uskutočňujú odbory živnostenského</w:t>
      </w:r>
      <w:r>
        <w:t xml:space="preserve"> </w:t>
      </w:r>
      <w:r w:rsidRPr="001C1809">
        <w:t>podnikania obvodných úradov, do pôsobnosti ktor</w:t>
      </w:r>
      <w:r>
        <w:t>ých</w:t>
      </w:r>
      <w:r w:rsidRPr="001C1809">
        <w:t xml:space="preserve"> spadá:</w:t>
      </w:r>
    </w:p>
    <w:p w:rsidR="007D12E4" w:rsidRPr="00344365" w:rsidRDefault="007D12E4" w:rsidP="00B560E4">
      <w:pPr>
        <w:numPr>
          <w:ilvl w:val="0"/>
          <w:numId w:val="69"/>
        </w:numPr>
        <w:spacing w:before="0"/>
        <w:contextualSpacing/>
      </w:pPr>
      <w:r w:rsidRPr="00344365">
        <w:t>rozhodovanie o uznaní odbornej spôsobilosti;</w:t>
      </w:r>
    </w:p>
    <w:p w:rsidR="007D12E4" w:rsidRPr="00344365" w:rsidRDefault="007D12E4" w:rsidP="00B560E4">
      <w:pPr>
        <w:numPr>
          <w:ilvl w:val="0"/>
          <w:numId w:val="69"/>
        </w:numPr>
        <w:spacing w:before="0"/>
        <w:contextualSpacing/>
      </w:pPr>
      <w:r w:rsidRPr="00344365">
        <w:t>vydávanie dokladov o druhu a dĺžke praxe v činnostiach, ktoré sú živnosťou;</w:t>
      </w:r>
    </w:p>
    <w:p w:rsidR="007D12E4" w:rsidRPr="00344365" w:rsidRDefault="007D12E4" w:rsidP="00B560E4">
      <w:pPr>
        <w:numPr>
          <w:ilvl w:val="0"/>
          <w:numId w:val="69"/>
        </w:numPr>
        <w:spacing w:before="0"/>
        <w:contextualSpacing/>
      </w:pPr>
      <w:r w:rsidRPr="00344365">
        <w:t>v</w:t>
      </w:r>
      <w:r>
        <w:t xml:space="preserve"> jednotnom automatizovanom </w:t>
      </w:r>
      <w:r w:rsidRPr="00344365">
        <w:t xml:space="preserve">informačnom systéme vedenie evidencie podnikateľov, ktorým vydal </w:t>
      </w:r>
      <w:r>
        <w:t>doklady o živnostenskom</w:t>
      </w:r>
      <w:r w:rsidRPr="00344365">
        <w:t xml:space="preserve"> oprávnen</w:t>
      </w:r>
      <w:r>
        <w:t>í</w:t>
      </w:r>
      <w:r w:rsidRPr="00344365">
        <w:t>;</w:t>
      </w:r>
    </w:p>
    <w:p w:rsidR="007D12E4" w:rsidRPr="00344365" w:rsidRDefault="007D12E4" w:rsidP="00B560E4">
      <w:pPr>
        <w:numPr>
          <w:ilvl w:val="0"/>
          <w:numId w:val="69"/>
        </w:numPr>
        <w:spacing w:before="0"/>
        <w:contextualSpacing/>
      </w:pPr>
      <w:r w:rsidRPr="00344365">
        <w:t>v rámci informačného systému vedenie živnostenského registra;</w:t>
      </w:r>
    </w:p>
    <w:p w:rsidR="007D12E4" w:rsidRPr="00344365" w:rsidRDefault="007D12E4" w:rsidP="00B560E4">
      <w:pPr>
        <w:numPr>
          <w:ilvl w:val="0"/>
          <w:numId w:val="69"/>
        </w:numPr>
        <w:spacing w:before="0"/>
        <w:contextualSpacing/>
      </w:pPr>
      <w:r w:rsidRPr="00344365">
        <w:t>pri správnych deliktov na úseku živnostenského podnikania ukladanie sankcií;</w:t>
      </w:r>
    </w:p>
    <w:p w:rsidR="007D12E4" w:rsidRPr="00344365" w:rsidRDefault="007D12E4" w:rsidP="00B560E4">
      <w:pPr>
        <w:pStyle w:val="Zarkazkladnhotextu"/>
        <w:numPr>
          <w:ilvl w:val="0"/>
          <w:numId w:val="69"/>
        </w:numPr>
        <w:spacing w:before="0" w:after="0"/>
        <w:contextualSpacing/>
      </w:pPr>
      <w:r w:rsidRPr="00344365">
        <w:t>mesačné zasielanie zoznamu podnikateľov, ktorým bolo vydané živnostenské oprávnenie, a to príslušnému daňovému úradu (podľa bydliska fyzickej osoby alebo sídla právnickej osoby), štatistickému úradu (podľa sídla jeho územnej pôsobnosti), sociálnej poisťovni, úradu práce, sociálnych vecí a rodiny, živnostenskému spoločenstvu a obciam;</w:t>
      </w:r>
    </w:p>
    <w:p w:rsidR="007D12E4" w:rsidRPr="00344365" w:rsidRDefault="007D12E4" w:rsidP="00B560E4">
      <w:pPr>
        <w:pStyle w:val="Zarkazkladnhotextu"/>
        <w:numPr>
          <w:ilvl w:val="0"/>
          <w:numId w:val="69"/>
        </w:numPr>
        <w:spacing w:before="0" w:after="0"/>
        <w:contextualSpacing/>
      </w:pPr>
      <w:r w:rsidRPr="00344365">
        <w:t xml:space="preserve">na požiadanie poskytovanie jednorazových informácií z verejnej časti živnostenského registra; </w:t>
      </w:r>
    </w:p>
    <w:p w:rsidR="007D12E4" w:rsidRPr="007D12E4" w:rsidRDefault="007D12E4" w:rsidP="00B560E4">
      <w:pPr>
        <w:pStyle w:val="Zkladntext"/>
        <w:numPr>
          <w:ilvl w:val="0"/>
          <w:numId w:val="69"/>
        </w:numPr>
        <w:spacing w:line="360" w:lineRule="auto"/>
        <w:contextualSpacing/>
      </w:pPr>
      <w:r w:rsidRPr="007D12E4">
        <w:t>spolupráca so Slovenskou živnostenskou komorou.</w:t>
      </w:r>
    </w:p>
    <w:p w:rsidR="007D12E4" w:rsidRPr="0014453A" w:rsidRDefault="007D12E4" w:rsidP="007D12E4">
      <w:pPr>
        <w:autoSpaceDE w:val="0"/>
        <w:autoSpaceDN w:val="0"/>
        <w:ind w:firstLine="708"/>
        <w:contextualSpacing/>
      </w:pPr>
      <w:r w:rsidRPr="0014453A">
        <w:t>Predpokladom efektívnej rozhodovacej činnosti obvodných úradov je kvalitné posúdenie všetkých podmienok, či už pri vydávaní rozhodnutí o živnostenskom podnikaní alebo rozhodnutí o sankciách v rámci kontrolnej činnosti (tzn. vydanie rozhodnutí, ktoré v prípade podania odvolania účastníkom konania nebudú zrušené nadriadeným orgánom, teda MV SR).</w:t>
      </w:r>
    </w:p>
    <w:p w:rsidR="007D12E4" w:rsidRDefault="007D12E4" w:rsidP="007D12E4">
      <w:pPr>
        <w:autoSpaceDE w:val="0"/>
        <w:autoSpaceDN w:val="0"/>
        <w:ind w:firstLine="708"/>
        <w:contextualSpacing/>
      </w:pPr>
    </w:p>
    <w:p w:rsidR="007D12E4" w:rsidRPr="007D12E4" w:rsidRDefault="007D12E4" w:rsidP="007D12E4">
      <w:pPr>
        <w:pStyle w:val="Zkladntext"/>
        <w:spacing w:line="360" w:lineRule="auto"/>
        <w:contextualSpacing/>
        <w:rPr>
          <w:b/>
        </w:rPr>
      </w:pPr>
      <w:r w:rsidRPr="007D12E4">
        <w:rPr>
          <w:b/>
        </w:rPr>
        <w:t>Živnostenský register</w:t>
      </w:r>
    </w:p>
    <w:p w:rsidR="007D12E4" w:rsidRPr="00344365" w:rsidRDefault="007D12E4" w:rsidP="007D12E4">
      <w:pPr>
        <w:ind w:firstLine="708"/>
        <w:contextualSpacing/>
      </w:pPr>
      <w:r w:rsidRPr="00344365">
        <w:t xml:space="preserve">Živnostenský register plní evidenčnú a kontrolnú funkciu, nakoľko obsahuje prehľad prevádzkovania živnosti: obsahuje údaje od vzniku, zmien až po zánik živnostenského oprávnenia. Zápis do živnostenského registra má teda deklaratórnu povahu. Živnostenský register sa člení na dve časti: na verejnú a neverejnú časť, ktorú tvoria osobné údaje fyzickej osoby a zodpovedného zástupcu (meno a priezvisko, bydlisko a rodné číslo). Každý má právo nahliadať resp. požadovať výpisy zo </w:t>
      </w:r>
      <w:r w:rsidRPr="00344365">
        <w:lastRenderedPageBreak/>
        <w:t xml:space="preserve">živnostenského registra, avšak len z jeho verejnej časti. Do živnostenského registra sa zapisujú tieto údaje: </w:t>
      </w:r>
    </w:p>
    <w:p w:rsidR="007D12E4" w:rsidRPr="00344365" w:rsidRDefault="007D12E4" w:rsidP="00B560E4">
      <w:pPr>
        <w:numPr>
          <w:ilvl w:val="0"/>
          <w:numId w:val="70"/>
        </w:numPr>
        <w:spacing w:before="0"/>
        <w:contextualSpacing/>
      </w:pPr>
      <w:r w:rsidRPr="00344365">
        <w:t xml:space="preserve">v prípade fyzickej osoby - obchodné meno, identifikačné číslo, miesto podnikania, osobné   </w:t>
      </w:r>
    </w:p>
    <w:p w:rsidR="007D12E4" w:rsidRPr="00344365" w:rsidRDefault="007D12E4" w:rsidP="00B560E4">
      <w:pPr>
        <w:numPr>
          <w:ilvl w:val="0"/>
          <w:numId w:val="70"/>
        </w:numPr>
        <w:spacing w:before="0"/>
        <w:contextualSpacing/>
      </w:pPr>
      <w:r w:rsidRPr="00344365">
        <w:t>údaje (vrátane zodpovedného zástupcu); v prípade právnickej osoby - obchodné meno, sídlo, mená osôb, ktorí sú jej štatutárnym orgánom, spôsob, akým za právnickú osobu konajú, identifikačné číslo, osobné údaje týkajúce sa zodpovedného zástupcu; v prípade zahraničnej osoby - adresa podniku alebo organizačnej zložky na území S</w:t>
      </w:r>
      <w:r>
        <w:t>R</w:t>
      </w:r>
      <w:r w:rsidRPr="00344365">
        <w:t>;</w:t>
      </w:r>
    </w:p>
    <w:p w:rsidR="007D12E4" w:rsidRPr="00344365" w:rsidRDefault="007D12E4" w:rsidP="00B560E4">
      <w:pPr>
        <w:numPr>
          <w:ilvl w:val="0"/>
          <w:numId w:val="70"/>
        </w:numPr>
        <w:spacing w:before="0"/>
        <w:contextualSpacing/>
      </w:pPr>
      <w:r w:rsidRPr="00344365">
        <w:t>predmet podnikania;</w:t>
      </w:r>
    </w:p>
    <w:p w:rsidR="007D12E4" w:rsidRPr="00344365" w:rsidRDefault="007D12E4" w:rsidP="00B560E4">
      <w:pPr>
        <w:numPr>
          <w:ilvl w:val="0"/>
          <w:numId w:val="70"/>
        </w:numPr>
        <w:spacing w:before="0"/>
        <w:contextualSpacing/>
      </w:pPr>
      <w:r w:rsidRPr="00344365">
        <w:t>zriadené prevádzkarne;</w:t>
      </w:r>
    </w:p>
    <w:p w:rsidR="007D12E4" w:rsidRPr="00344365" w:rsidRDefault="007D12E4" w:rsidP="00B560E4">
      <w:pPr>
        <w:numPr>
          <w:ilvl w:val="0"/>
          <w:numId w:val="70"/>
        </w:numPr>
        <w:spacing w:before="0"/>
        <w:contextualSpacing/>
      </w:pPr>
      <w:r w:rsidRPr="00344365">
        <w:t>dátum vzniku živnostenského oprávnenia;</w:t>
      </w:r>
    </w:p>
    <w:p w:rsidR="007D12E4" w:rsidRPr="00344365" w:rsidRDefault="007D12E4" w:rsidP="00B560E4">
      <w:pPr>
        <w:numPr>
          <w:ilvl w:val="0"/>
          <w:numId w:val="70"/>
        </w:numPr>
        <w:spacing w:before="0"/>
        <w:contextualSpacing/>
      </w:pPr>
      <w:r w:rsidRPr="00344365">
        <w:t>čas, na ktorý sa živnostenské oprávnenie vydáva;</w:t>
      </w:r>
    </w:p>
    <w:p w:rsidR="007D12E4" w:rsidRPr="00344365" w:rsidRDefault="007D12E4" w:rsidP="00B560E4">
      <w:pPr>
        <w:numPr>
          <w:ilvl w:val="0"/>
          <w:numId w:val="70"/>
        </w:numPr>
        <w:spacing w:before="0"/>
        <w:contextualSpacing/>
      </w:pPr>
      <w:r w:rsidRPr="00344365">
        <w:t>pozastavenie alebo zánik živnostenského oprávnenia;</w:t>
      </w:r>
    </w:p>
    <w:p w:rsidR="007D12E4" w:rsidRPr="007D12E4" w:rsidRDefault="007D12E4" w:rsidP="00B560E4">
      <w:pPr>
        <w:pStyle w:val="Zkladntext"/>
        <w:numPr>
          <w:ilvl w:val="0"/>
          <w:numId w:val="70"/>
        </w:numPr>
        <w:spacing w:line="360" w:lineRule="auto"/>
        <w:contextualSpacing/>
      </w:pPr>
      <w:r w:rsidRPr="007D12E4">
        <w:t>vrátenie živnostenského listu alebo koncesnej listiny.</w:t>
      </w:r>
    </w:p>
    <w:p w:rsidR="007D12E4" w:rsidRDefault="007D12E4" w:rsidP="007D12E4">
      <w:pPr>
        <w:autoSpaceDE w:val="0"/>
        <w:autoSpaceDN w:val="0"/>
        <w:contextualSpacing/>
        <w:rPr>
          <w:b/>
        </w:rPr>
      </w:pPr>
    </w:p>
    <w:p w:rsidR="007D12E4" w:rsidRPr="006A3959" w:rsidRDefault="007D12E4" w:rsidP="007D12E4">
      <w:pPr>
        <w:autoSpaceDE w:val="0"/>
        <w:autoSpaceDN w:val="0"/>
        <w:contextualSpacing/>
        <w:rPr>
          <w:b/>
        </w:rPr>
      </w:pPr>
      <w:r w:rsidRPr="006A3959">
        <w:rPr>
          <w:b/>
        </w:rPr>
        <w:t>Jednotné kontaktné miesta</w:t>
      </w:r>
    </w:p>
    <w:p w:rsidR="007D12E4" w:rsidRPr="007D12E4" w:rsidRDefault="007D12E4" w:rsidP="007D12E4">
      <w:pPr>
        <w:spacing w:before="0"/>
        <w:ind w:firstLine="720"/>
        <w:contextualSpacing/>
      </w:pPr>
      <w:r w:rsidRPr="007D12E4">
        <w:t>Od 1. októbra 2007 boli na obvodných úradoch zriadené tzv. jednotné kontaktné miesta (JKM), ktoré pre podnikateľov vytvárajú výrazne zlepšené podmienky z hľadiska prístupu k službám (získanie živnostenského oprávnenia na podnikateľskú činnosť). Poskytuje informácie všeobecného a vysvetľujúceho charakteru najmä v oblasti podmienkach prevádzkovania živnosti a o poskytovaní v činnostiach, ktoré sú živnosťou na území SR, postupoch vybavovania náležitostí pre získanie živnostenského oprávnenia a prístupu k poskytovaniu služieb, prístupu k verejným registrom s databázami poskytovateľov služieb, všeobecne dostupných spôsoboch riešenia sporov súvisiacich s možnosťou poskytovania služieb a vlastným poskytovaním služieb. Od fyzických a právnických osôb uchádzajúcich sa o živnostenské oprávnenie prijíma údaje na registráciu a oznámenie daňovníka, prihlásenia sa do systému povinného zdravotného poistenia a oznámenia zmeny platiteľa poistného na účely zdravotného poistenia. Živnostník ako účastník správneho konania v krátkej lehote, resp. na počkanie získa na JKM všetky potrebné doklady k začatiu svojho podnikania, pričom rozhodnutie o živnostenskom oprávnení obdrží v lehote do 5 dní. Na základe schválenej novely živnostenského podnikania, ktorá sa stane účinnou k 1. júnu 2010, sa predpokladá ďalšie zvýšenie úrovne a kvality služieb JKM.</w:t>
      </w:r>
    </w:p>
    <w:p w:rsidR="00CF141A" w:rsidRDefault="00CF141A" w:rsidP="00472F63">
      <w:pPr>
        <w:pStyle w:val="ZPPodNadpis3urovenTimesNewRoman"/>
      </w:pPr>
      <w:r>
        <w:lastRenderedPageBreak/>
        <w:t>Výkon živnostenského podnikania ďalšími orgánmi verejnej správy</w:t>
      </w:r>
    </w:p>
    <w:p w:rsidR="00CF141A" w:rsidRPr="00CF141A" w:rsidRDefault="00CF141A" w:rsidP="00CF141A">
      <w:pPr>
        <w:pStyle w:val="Zkladntext"/>
        <w:spacing w:line="360" w:lineRule="auto"/>
        <w:ind w:firstLine="708"/>
        <w:contextualSpacing/>
      </w:pPr>
      <w:r w:rsidRPr="00CF141A">
        <w:t>Výkonom živnostenského podnikania sa nezaoberajú len orgány štátnej správy, svoje úlohy v tejto oblasti plnia aj:</w:t>
      </w:r>
    </w:p>
    <w:p w:rsidR="00CF141A" w:rsidRPr="00CF141A" w:rsidRDefault="00CF141A" w:rsidP="00B560E4">
      <w:pPr>
        <w:pStyle w:val="Zkladntext"/>
        <w:numPr>
          <w:ilvl w:val="0"/>
          <w:numId w:val="79"/>
        </w:numPr>
        <w:spacing w:line="360" w:lineRule="auto"/>
        <w:contextualSpacing/>
      </w:pPr>
      <w:r w:rsidRPr="00CF141A">
        <w:t>Obce a samosprávne kraje - ako právnické osoby môžu byť nositeľmi živnostenského oprávnenia. Podľa zákona č. 369/1990 Zb. o obecnom zriadení môže obec vydávať súhlas, záväzné stanovisko alebo sa vyjadriť k podnikateľskej činnosti a k umiestneniu prevádzky na svojom území. Vytvára podmienky na riadne zásobovanie obce, nad ktorým vykonáva dozor (povoľuje predajný a prevádzkový čas, spravuje trhoviská), ale aj podmienky pre rozvoj podnikania, pri ktorých často spolupracuje s podnikateľskými subjektmi pôsobiacimi v obci. Podľa zákona č. 372/1990 Zb. o priestupkoch je obec oprávnená ukladať za priestupky na úseku podnikania v blokovom konaní pokuty.</w:t>
      </w:r>
    </w:p>
    <w:p w:rsidR="00CF141A" w:rsidRPr="00CF141A" w:rsidRDefault="00CF141A" w:rsidP="00B560E4">
      <w:pPr>
        <w:pStyle w:val="Zkladntext"/>
        <w:numPr>
          <w:ilvl w:val="0"/>
          <w:numId w:val="79"/>
        </w:numPr>
        <w:spacing w:line="360" w:lineRule="auto"/>
        <w:contextualSpacing/>
      </w:pPr>
      <w:r w:rsidRPr="00CF141A">
        <w:t>Podnikateľské organizácie (Slovenská živnostenská komora) - od roku 1990 sú všetci podnikatelia a živnostníci organizovaní v občianskych združeniach, ktoré pôsobia na regionálnej, ako aj profesijnej úrovni. Slovenská živnostenská komora bola zriadená na základe zákona č. 126/1998 Z.z. Komora, ktorej sídlo sa nachádza v Žiline, má svoj vlastný štatút, volebný a rokovací poriadok, predstavenstvo (pri ktorom pôsobia výbory - Výbor pre legislatívu, Ekonomický výbor, Výbor pre vzdelávanie a Mediálny výbor) a dozornú radu. Historicky prvým predsedom komory bol Dušan Hruštinec, od roku 2004 však túto pozíciu zastáva Ing. Vojtech Gottschall. Ako právnická osoba ovplyvňuje oblasť živnostenského podnikania v SR:</w:t>
      </w:r>
    </w:p>
    <w:p w:rsidR="00CF141A" w:rsidRPr="00344365" w:rsidRDefault="00CF141A" w:rsidP="00B560E4">
      <w:pPr>
        <w:numPr>
          <w:ilvl w:val="0"/>
          <w:numId w:val="71"/>
        </w:numPr>
        <w:spacing w:before="0"/>
        <w:contextualSpacing/>
      </w:pPr>
      <w:r w:rsidRPr="004159E1">
        <w:t>podporuje rozvoj ma</w:t>
      </w:r>
      <w:r w:rsidRPr="00344365">
        <w:t>lého a stredného podnikania, pričom podporuje a ochraňuje svojich členov (členstvo v komore je dobrovoľné)</w:t>
      </w:r>
      <w:r w:rsidRPr="00344365">
        <w:rPr>
          <w:lang w:val="en-US"/>
        </w:rPr>
        <w:t>;</w:t>
      </w:r>
    </w:p>
    <w:p w:rsidR="00CF141A" w:rsidRPr="00344365" w:rsidRDefault="00CF141A" w:rsidP="00B560E4">
      <w:pPr>
        <w:numPr>
          <w:ilvl w:val="0"/>
          <w:numId w:val="71"/>
        </w:numPr>
        <w:spacing w:before="0"/>
        <w:contextualSpacing/>
      </w:pPr>
      <w:r w:rsidRPr="00344365">
        <w:t>vykonáva skúšky odbornej spôsobilosti pre remeselné živnosti;</w:t>
      </w:r>
    </w:p>
    <w:p w:rsidR="00CF141A" w:rsidRPr="00344365" w:rsidRDefault="00CF141A" w:rsidP="00B560E4">
      <w:pPr>
        <w:numPr>
          <w:ilvl w:val="0"/>
          <w:numId w:val="71"/>
        </w:numPr>
        <w:spacing w:before="0"/>
        <w:contextualSpacing/>
      </w:pPr>
      <w:r w:rsidRPr="00344365">
        <w:t>pozornosť sústreďuje na vzdelávanie a poradenstvo;</w:t>
      </w:r>
    </w:p>
    <w:p w:rsidR="00CF141A" w:rsidRPr="00344365" w:rsidRDefault="00CF141A" w:rsidP="00B560E4">
      <w:pPr>
        <w:numPr>
          <w:ilvl w:val="0"/>
          <w:numId w:val="71"/>
        </w:numPr>
        <w:spacing w:before="0"/>
        <w:contextualSpacing/>
      </w:pPr>
      <w:r w:rsidRPr="00344365">
        <w:t xml:space="preserve">vstupuje do procesu odborného vzdelávania v stredných odborných učilištiach a združených stredných školách; </w:t>
      </w:r>
    </w:p>
    <w:p w:rsidR="00CF141A" w:rsidRDefault="00CF141A" w:rsidP="00B560E4">
      <w:pPr>
        <w:numPr>
          <w:ilvl w:val="0"/>
          <w:numId w:val="71"/>
        </w:numPr>
        <w:spacing w:before="0"/>
        <w:contextualSpacing/>
      </w:pPr>
      <w:r w:rsidRPr="00344365">
        <w:t>v spolupráci s Ministerstvom školstva SR pripravuje legislatívne návrhov pre zabezpečenie kvalitnej odbornej pripravenosti živnostníkov, malých a stredných podnikateľov;</w:t>
      </w:r>
    </w:p>
    <w:p w:rsidR="00CF141A" w:rsidRDefault="00CF141A" w:rsidP="00B560E4">
      <w:pPr>
        <w:numPr>
          <w:ilvl w:val="0"/>
          <w:numId w:val="71"/>
        </w:numPr>
        <w:spacing w:before="0"/>
        <w:contextualSpacing/>
      </w:pPr>
      <w:r w:rsidRPr="00CF141A">
        <w:t>spolupracuje s inými komorami doma i v zahraničí, obcami, univerzitami a i.</w:t>
      </w:r>
    </w:p>
    <w:p w:rsidR="00CF141A" w:rsidRDefault="00CF141A" w:rsidP="00CF141A">
      <w:pPr>
        <w:spacing w:before="0"/>
        <w:contextualSpacing/>
      </w:pPr>
    </w:p>
    <w:p w:rsidR="00CF141A" w:rsidRDefault="00CF141A" w:rsidP="00472F63">
      <w:pPr>
        <w:pStyle w:val="ZPPodNadpis3urovenTimesNewRoman"/>
      </w:pPr>
      <w:r>
        <w:lastRenderedPageBreak/>
        <w:t>Kontrolná činnosť na úseku živnostenského podnikania</w:t>
      </w:r>
    </w:p>
    <w:p w:rsidR="00CF141A" w:rsidRPr="00CF141A" w:rsidRDefault="00CF141A" w:rsidP="00CF141A">
      <w:pPr>
        <w:pStyle w:val="Zkladntext2"/>
        <w:spacing w:line="360" w:lineRule="auto"/>
        <w:ind w:firstLine="708"/>
        <w:contextualSpacing/>
      </w:pPr>
      <w:r w:rsidRPr="00CF141A">
        <w:t>Neodmysliteľnou súčasťou každej riadiacej činnosti je kontrolná činnosť, v rámci ktorej sa zisťuje, do akej miery zodpovedá existujúci stav požadovanému stavu v danom čase, nesplnenie právnych povinností a zo zisteného stavu sa vyvodzujú závery a uplatňujú potrebné opatrenia. Súčasťou výkonu verejnej správy v oblasti živnostenského podnikania je aj kontrolná činnosť, ktorú realizujú obvodné úrady prostredníctvom:</w:t>
      </w:r>
    </w:p>
    <w:p w:rsidR="00CF141A" w:rsidRPr="00CF141A" w:rsidRDefault="00CF141A" w:rsidP="00B560E4">
      <w:pPr>
        <w:pStyle w:val="Zkladntext2"/>
        <w:numPr>
          <w:ilvl w:val="0"/>
          <w:numId w:val="72"/>
        </w:numPr>
        <w:spacing w:before="0" w:after="0" w:line="360" w:lineRule="auto"/>
        <w:contextualSpacing/>
      </w:pPr>
      <w:r w:rsidRPr="00CF141A">
        <w:t xml:space="preserve">pracovníkov živnostenského úradu - pri kontrole plnenia povinností a dodržiavania podmienok zo strany podnikateľov a ich zamestnancov sa preukazujú preukazom kontrolóra. Sú oprávnení vstupovať do priestorov podnikateľov a ich prevádzkarní, požadovať preukázanie ich totožnosti, požadovať doklady, informácie a vysvetlenia, ako aj uložiť opatrenia na odstránenie kontrolou zistených nedostatkov pri prevádzkovaní živnosti. Ak sa kontrolou zistia skutočnosti, ktoré by mohli ohroziť životné prostredie, život, zdravie a bezpečnosť osôb, vypracuje sa o tom záznam, ktorý sa doručí podnikateľovi a dotknutému orgánu štátnej správy. Pri výkone kontroly plnenia povinností a dodržiavania podmienok je podnikateľ zo zákona povinný poskytovať súčinnosť.   </w:t>
      </w:r>
    </w:p>
    <w:p w:rsidR="00CF141A" w:rsidRPr="00CF141A" w:rsidRDefault="00CF141A" w:rsidP="00B560E4">
      <w:pPr>
        <w:pStyle w:val="Zkladntext2"/>
        <w:numPr>
          <w:ilvl w:val="0"/>
          <w:numId w:val="72"/>
        </w:numPr>
        <w:spacing w:before="0" w:after="0" w:line="360" w:lineRule="auto"/>
        <w:contextualSpacing/>
        <w:rPr>
          <w:b/>
        </w:rPr>
      </w:pPr>
      <w:r w:rsidRPr="00CF141A">
        <w:t>pracovníkov špecializovaných kontrolných orgánov v medziach ich pôsobnosti (odvetvové kontrolné, inšpekčné a dozorné orgány).</w:t>
      </w:r>
    </w:p>
    <w:p w:rsidR="00CF141A" w:rsidRDefault="00CF141A" w:rsidP="00CF141A">
      <w:pPr>
        <w:spacing w:before="0"/>
        <w:contextualSpacing/>
      </w:pPr>
    </w:p>
    <w:p w:rsidR="00CF141A" w:rsidRDefault="00CF141A" w:rsidP="00472F63">
      <w:pPr>
        <w:pStyle w:val="ZPPodNadpis3urovenTimesNewRoman"/>
      </w:pPr>
      <w:r>
        <w:t>Administratívnoprávna zodpovednosť v oblasti živnostenského podnikania</w:t>
      </w:r>
    </w:p>
    <w:p w:rsidR="00CF141A" w:rsidRPr="00CF141A" w:rsidRDefault="00CF141A" w:rsidP="00CF141A">
      <w:pPr>
        <w:pStyle w:val="Zkladntext"/>
        <w:spacing w:line="360" w:lineRule="auto"/>
        <w:ind w:firstLine="708"/>
        <w:contextualSpacing/>
      </w:pPr>
      <w:r w:rsidRPr="00CF141A">
        <w:t xml:space="preserve">Keďže často dochádza k protizákonnému konaniu, najmä k úmyselnému porušovaniu práv a právom chránených záujmov, právny poriadok zaviedol zákonné ustanovenia, ktorý s nimi ráta. Správny delikt, t.j. spoločensky menej nebezpečné protiprávne konanie a jeho znaky (konanie, protiprávnosť, sankciovateľnosť, zodpovedná osoba a zavinenie), ktoré bližšie definuje zákon (ide o konanie v rozpore s právom, príp. s právnym úkonom) a za ktoré správny orgán ukladá sankcie (výnimku tvoria krajná núdza, nutná obrana, výkon povolenej činnosti, konanie na príkaz, oprávnené použitie zbrane), sú ustanovené administratívnoprávnou normou. </w:t>
      </w:r>
    </w:p>
    <w:p w:rsidR="00CF141A" w:rsidRPr="00CF141A" w:rsidRDefault="00CF141A" w:rsidP="00CF141A">
      <w:pPr>
        <w:pStyle w:val="Zkladntext"/>
        <w:spacing w:line="360" w:lineRule="auto"/>
        <w:ind w:firstLine="708"/>
        <w:contextualSpacing/>
      </w:pPr>
      <w:r w:rsidRPr="00CF141A">
        <w:t xml:space="preserve">Najčastejšie sa vyskytujúcim druhom správnych deliktov sú priestupky - zavinené konania porušujúce alebo ohrozujúce záujem spoločnosti, upravované zákonom č. 372/1990 Zb. o priestupkoch, ktorý obsahuje všeobecné hmotnoprávne </w:t>
      </w:r>
      <w:r w:rsidRPr="00CF141A">
        <w:lastRenderedPageBreak/>
        <w:t>(teda skutkové podstaty priestupkov), ako aj procesnoprávne ustanovenia. Správny poriadok je všeobecný predpis, podľa ktorého postupujú správne orgány, v prípade, ak neexistuje osobitná právna úprava, platí subsidiárne aj v priestupkovom konaní. Právnym následkom priestupku sú sankcie ako pokarhanie, pokuta, zákaz činnosti či prepadnutie veci, ktoré je možné uložiť samostatne alebo s inou sankciou. Pri ukladaní sankcie správny orgán prihliada najmä na závažnosť, rozsah a opakovanie sa priestupku. Priestupky prejednávajú miestne príslušné obvodné úrady, kde bol priestupok spáchaný. Živnostenský zákon v zásade upravuje tieto prípady správnych deliktov:</w:t>
      </w:r>
    </w:p>
    <w:p w:rsidR="00CF141A" w:rsidRPr="00CF141A" w:rsidRDefault="00CF141A" w:rsidP="00B560E4">
      <w:pPr>
        <w:pStyle w:val="Zkladntext"/>
        <w:numPr>
          <w:ilvl w:val="0"/>
          <w:numId w:val="73"/>
        </w:numPr>
        <w:spacing w:line="360" w:lineRule="auto"/>
        <w:contextualSpacing/>
      </w:pPr>
      <w:r w:rsidRPr="00CF141A">
        <w:t xml:space="preserve">Správny delikt spočívajúci v neoprávnenom podnikaní - protiprávnym konaním na úseku živnostenského podnikania je najmä priestupok na úseku podnikania, teda poškodzovanie spotrebiteľa, porušovanie právnych predpisov na úseku nakladania s drahými kovmi a neoprávnené podnikanie (prevádzkovanie živnosti bez živnostenského oprávnenia). Konanie o uložení pokuty je správnym konaním, ktoré vždy začína na podnet živnostenského úradu, a to do jedného roka odo dňa, kedy sa o neoprávnenom podnikaní dozvedel (subjektívna premlčacia lehota) a najneskôr do 5 rokov (objektívna lehota), kedy prišlo k porušeniu. Podľa zákona o priestupkoch môžu byť podkladmi na začatie konania správa o výsledku objasňovania priestupku, oznámenie štátneho orgánu, obce alebo inej právnickej osoby či občana o priestupku, poznatok z vlastnej činnosti živnostenského úradu alebo postúpenie veci orgánom činným v trestnom konaní. V prípade, ak živnostenský úrad danú vec nepredloží, ani nezistí dôvod na jej postúpenie inému orgánu, začne konanie o priestupku bezodkladne, najneskôr do 30 dní. Ak o to však požiada oznamovateľ priestupku, živnostenský úrad ho do jedného mesiaca od oznámenia upovedomí o uskutočnených opatreniach. V prvom stupni o priestupku koná živnostenský úrad ústne pojednávanie. Živnostenský úrad však môže konanie o priestupku zastaviť. Osobe, ktorá bola uznaná vinnou zo spáchania priestupku, uloží živnostenský úrad pokutu. Výška pokuty na úseku podnikania sa pohybuje v rozsahu do 1 659 € (voľná živnosť), do 3 319 € (remeselná, viazaná živnosť) a do 6 638 € (koncesovaná živnosť). Proti rozhodnutiu je možné podať odvolanie, pričom sa subsidiárne používajú ustanovenia správneho poriadku o odvolaní. Jediným špecifikom je použitie výslovného zákazu „reformatio in peius“, teda zákaz zmeny k horšiemu. Živnostenský úrad nemôže zmeniť v odvolacom konaní o priestupku uloženú </w:t>
      </w:r>
      <w:r w:rsidRPr="00CF141A">
        <w:lastRenderedPageBreak/>
        <w:t xml:space="preserve">sankciu v neprospech obvineného z priestupku na úseku podnikania, ak nezistí nové skutkové podstaty. Právoplatné rozhodnutie živnostenského úradu o priestupku je preskúmateľné súdom.    </w:t>
      </w:r>
    </w:p>
    <w:p w:rsidR="00CF141A" w:rsidRPr="00CF141A" w:rsidRDefault="00CF141A" w:rsidP="00B560E4">
      <w:pPr>
        <w:pStyle w:val="Zkladntext"/>
        <w:numPr>
          <w:ilvl w:val="0"/>
          <w:numId w:val="73"/>
        </w:numPr>
        <w:spacing w:line="360" w:lineRule="auto"/>
        <w:contextualSpacing/>
      </w:pPr>
      <w:r w:rsidRPr="00CF141A">
        <w:t>Správny delikt spočívajúci v porušení iných ustanovení živnostenského zákona, napr. neohlásenie zriadenia prevádzkarne, zodpovedného zástupcu či neoznámenie zmien v živnosti je možné uložiť pokutu, ktorá sa pohybuje v rozsahu do 3 319 €, do 1 659 € a do 663 €.</w:t>
      </w:r>
    </w:p>
    <w:p w:rsidR="00CF141A" w:rsidRPr="00CF141A" w:rsidRDefault="00CF141A" w:rsidP="00B560E4">
      <w:pPr>
        <w:pStyle w:val="Zkladntext"/>
        <w:numPr>
          <w:ilvl w:val="0"/>
          <w:numId w:val="73"/>
        </w:numPr>
        <w:spacing w:line="360" w:lineRule="auto"/>
        <w:contextualSpacing/>
      </w:pPr>
      <w:r w:rsidRPr="00CF141A">
        <w:t>Správny delikt spočívajúci vo funkcii zodpovedného zástupcu pre viac ako jednu prevádzkareň, kde živnostenský úrad môže uložiť pokutu do 663 €.</w:t>
      </w:r>
    </w:p>
    <w:p w:rsidR="00CF141A" w:rsidRPr="00CF141A" w:rsidRDefault="00CF141A" w:rsidP="00B560E4">
      <w:pPr>
        <w:pStyle w:val="Zkladntext"/>
        <w:numPr>
          <w:ilvl w:val="0"/>
          <w:numId w:val="73"/>
        </w:numPr>
        <w:spacing w:line="360" w:lineRule="auto"/>
        <w:contextualSpacing/>
        <w:rPr>
          <w:b/>
        </w:rPr>
      </w:pPr>
      <w:r w:rsidRPr="00CF141A">
        <w:t>Správny delikt spočívajúci v marení, rušení alebo inom sťažovaní výkonu kontroly zo strany podnikateľa a zodpovedného zástupcu, kde živnostenský úrad môže uložiť poriadkovú pokutu do 331 €, a to aj opakovane.</w:t>
      </w:r>
    </w:p>
    <w:p w:rsidR="00CF141A" w:rsidRDefault="00CF141A" w:rsidP="00CF141A">
      <w:pPr>
        <w:pStyle w:val="Zkladntext"/>
        <w:spacing w:line="360" w:lineRule="auto"/>
        <w:contextualSpacing/>
      </w:pPr>
    </w:p>
    <w:p w:rsidR="00CF141A" w:rsidRPr="00CF141A" w:rsidRDefault="00CF141A" w:rsidP="00CF141A">
      <w:pPr>
        <w:pStyle w:val="ZPPodNadpisKapitolyTimesNewRoman"/>
      </w:pPr>
      <w:r w:rsidRPr="00CF141A">
        <w:t>Vzťah správneho poriadku k živnostenskému podnikaniu</w:t>
      </w:r>
    </w:p>
    <w:p w:rsidR="00CF141A" w:rsidRDefault="00CF141A" w:rsidP="00CF141A">
      <w:pPr>
        <w:ind w:firstLine="708"/>
        <w:contextualSpacing/>
      </w:pPr>
      <w:r>
        <w:t>Vydanie ž</w:t>
      </w:r>
      <w:r w:rsidRPr="00414953">
        <w:t>ivnostenské</w:t>
      </w:r>
      <w:r>
        <w:t>ho</w:t>
      </w:r>
      <w:r w:rsidRPr="00414953">
        <w:t xml:space="preserve"> oprávneni</w:t>
      </w:r>
      <w:r>
        <w:t>a</w:t>
      </w:r>
      <w:r w:rsidRPr="00414953">
        <w:t xml:space="preserve"> </w:t>
      </w:r>
      <w:r>
        <w:t xml:space="preserve">vlastne </w:t>
      </w:r>
      <w:r w:rsidRPr="00414953">
        <w:t xml:space="preserve">predstavuje právo fyzickej alebo právnickej osoby prevádzkovať </w:t>
      </w:r>
      <w:r>
        <w:t xml:space="preserve">svoju </w:t>
      </w:r>
      <w:r w:rsidRPr="00414953">
        <w:t xml:space="preserve">živnosť. </w:t>
      </w:r>
      <w:r>
        <w:t>T</w:t>
      </w:r>
      <w:r w:rsidRPr="00414953">
        <w:t xml:space="preserve">oto právo </w:t>
      </w:r>
      <w:r>
        <w:t xml:space="preserve">sa </w:t>
      </w:r>
      <w:r w:rsidRPr="00414953">
        <w:t>konštituuje v kon</w:t>
      </w:r>
      <w:r>
        <w:t>aní pred orgánom štátnej správy - obvodným</w:t>
      </w:r>
      <w:r w:rsidRPr="00414953">
        <w:t xml:space="preserve"> úrad</w:t>
      </w:r>
      <w:r>
        <w:t>om</w:t>
      </w:r>
      <w:r w:rsidRPr="00414953">
        <w:t xml:space="preserve">, </w:t>
      </w:r>
      <w:r>
        <w:t xml:space="preserve">a preto sú </w:t>
      </w:r>
      <w:r w:rsidRPr="00414953">
        <w:t xml:space="preserve">pre </w:t>
      </w:r>
      <w:r>
        <w:t>jeho procesný postup</w:t>
      </w:r>
      <w:r w:rsidRPr="00414953">
        <w:t xml:space="preserve"> zákonom ustanovené pravidlá. </w:t>
      </w:r>
      <w:r w:rsidRPr="00A40224">
        <w:t>Obvodné úrady postupujú pri vydávaní živnostenských oprávnení jednak podľa zákona č. 455/1991 Zb.</w:t>
      </w:r>
      <w:r>
        <w:t xml:space="preserve"> </w:t>
      </w:r>
      <w:r w:rsidRPr="00A40224">
        <w:t xml:space="preserve">o živnostenskom podnikaní a jednak podľa </w:t>
      </w:r>
      <w:r>
        <w:t xml:space="preserve">zákona </w:t>
      </w:r>
      <w:r w:rsidRPr="00A40224">
        <w:t>č. 71/1967 Zb.</w:t>
      </w:r>
      <w:r>
        <w:t xml:space="preserve"> </w:t>
      </w:r>
      <w:r w:rsidRPr="00A40224">
        <w:t>o správnom konaní</w:t>
      </w:r>
      <w:r>
        <w:t>.</w:t>
      </w:r>
      <w:r w:rsidRPr="00A40224">
        <w:t xml:space="preserve"> </w:t>
      </w:r>
      <w:r>
        <w:t>Všeobecnou úpravou procesných práv a povinností v správnom konaní je však správny poriadok, ktorého vzťah k </w:t>
      </w:r>
      <w:r w:rsidRPr="00414953">
        <w:t>živnostensk</w:t>
      </w:r>
      <w:r>
        <w:t xml:space="preserve">ému zákonu je založený na princípe subsidiarity, čo znamená, že konanie vo veci živnosti sa spravuje správnym poriadkom. </w:t>
      </w:r>
      <w:r w:rsidRPr="00171359">
        <w:t>Ex</w:t>
      </w:r>
      <w:r>
        <w:t xml:space="preserve">istujú však aj osobitné úpravy, </w:t>
      </w:r>
      <w:r w:rsidRPr="00171359">
        <w:t xml:space="preserve">ktoré podľa potreby rozhodovania v špecifických prípadoch upravujú väčšie či menšie odchýlky od všeobecnej úpravy. </w:t>
      </w:r>
      <w:r w:rsidRPr="00414953">
        <w:t>Tieto odlišnosti</w:t>
      </w:r>
      <w:r>
        <w:t xml:space="preserve"> sa d</w:t>
      </w:r>
      <w:r w:rsidRPr="00414953">
        <w:t xml:space="preserve">otýkajú </w:t>
      </w:r>
      <w:r>
        <w:t xml:space="preserve">najmä </w:t>
      </w:r>
      <w:r w:rsidRPr="00414953">
        <w:t>postupu živnostenského úradu v konaní o vzniku živnostenského oprávnenia</w:t>
      </w:r>
      <w:r>
        <w:t xml:space="preserve">, ako aj v konaní o uložení pokuty. </w:t>
      </w:r>
    </w:p>
    <w:p w:rsidR="00CF141A" w:rsidRDefault="00CF141A" w:rsidP="00CF141A">
      <w:pPr>
        <w:pStyle w:val="Zkladntext"/>
        <w:spacing w:line="360" w:lineRule="auto"/>
        <w:ind w:firstLine="708"/>
        <w:contextualSpacing/>
      </w:pPr>
      <w:r>
        <w:t>Živnostenský úrad môže v</w:t>
      </w:r>
      <w:r w:rsidRPr="00414953">
        <w:t xml:space="preserve"> prípad</w:t>
      </w:r>
      <w:r>
        <w:t>e</w:t>
      </w:r>
      <w:r w:rsidRPr="00414953">
        <w:t xml:space="preserve"> </w:t>
      </w:r>
      <w:r w:rsidRPr="005D6CDC">
        <w:rPr>
          <w:bCs/>
        </w:rPr>
        <w:t>neoprávneného podnikania právnických alebo fyzických osôb</w:t>
      </w:r>
      <w:r w:rsidRPr="005D6CDC">
        <w:t xml:space="preserve"> začať konanie o uložení pokuty, najneskôr </w:t>
      </w:r>
      <w:r w:rsidRPr="005D6CDC">
        <w:rPr>
          <w:bCs/>
        </w:rPr>
        <w:t>do jedného roka</w:t>
      </w:r>
      <w:r w:rsidRPr="005D6CDC">
        <w:t xml:space="preserve"> odo dňa, keď sa o neoprávnenom dozvedel, najneskôr však </w:t>
      </w:r>
      <w:r w:rsidRPr="005D6CDC">
        <w:rPr>
          <w:bCs/>
        </w:rPr>
        <w:t>do 5 rokov</w:t>
      </w:r>
      <w:r w:rsidRPr="00414953">
        <w:t xml:space="preserve"> od doby, keď k porušeniu </w:t>
      </w:r>
      <w:r>
        <w:t>prišlo</w:t>
      </w:r>
      <w:r w:rsidRPr="00414953">
        <w:t xml:space="preserve">. Pri pokračujúcom neoprávnenom podnikaní môže konanie začať najneskôr </w:t>
      </w:r>
      <w:r w:rsidRPr="003C3FCA">
        <w:rPr>
          <w:bCs/>
        </w:rPr>
        <w:t>do 5 rokov,</w:t>
      </w:r>
      <w:r w:rsidRPr="003C3FCA">
        <w:t xml:space="preserve"> keď neoprávnené podnikanie ešte trvalo. V prípadoch porušenia iných ustanovení živnostenského zákona môže začať konanie o uloženie pokuty len do </w:t>
      </w:r>
      <w:r w:rsidRPr="003C3FCA">
        <w:lastRenderedPageBreak/>
        <w:t xml:space="preserve">jedného roka odo dňa, keď sa o danej skutočnosti dozvedel, najneskôr však </w:t>
      </w:r>
      <w:r w:rsidRPr="003C3FCA">
        <w:rPr>
          <w:bCs/>
        </w:rPr>
        <w:t>do 3 rokov</w:t>
      </w:r>
      <w:r w:rsidRPr="003C3FCA">
        <w:t xml:space="preserve"> od doby, keď taká skutočnosť ešte trvala a ak ide o nesplnenie povinnosti v lehote určenej živnostenským zákonom, najneskôr </w:t>
      </w:r>
      <w:r w:rsidRPr="003C3FCA">
        <w:rPr>
          <w:bCs/>
        </w:rPr>
        <w:t>do 3 rokov</w:t>
      </w:r>
      <w:r w:rsidRPr="003C3FCA">
        <w:t>, kedy uplynula lehota na splnenie povin</w:t>
      </w:r>
      <w:r w:rsidRPr="00414953">
        <w:t>nosti určenej týmto zákonom.</w:t>
      </w:r>
    </w:p>
    <w:p w:rsidR="00CF141A" w:rsidRDefault="00CF141A" w:rsidP="00CF141A">
      <w:pPr>
        <w:pStyle w:val="Zkladntext"/>
        <w:spacing w:line="360" w:lineRule="auto"/>
        <w:contextualSpacing/>
      </w:pPr>
    </w:p>
    <w:p w:rsidR="002F2C6A" w:rsidRDefault="002F2C6A" w:rsidP="00472F63">
      <w:pPr>
        <w:pStyle w:val="ZPPodNadpis3urovenTimesNewRoman"/>
      </w:pPr>
      <w:r>
        <w:t>Rozhodnutia o vzniku živnostenského oprávnenia v právnej úprave živnostenského zákona v porovnaní so správnym poriadkom</w:t>
      </w:r>
    </w:p>
    <w:p w:rsidR="002F2C6A" w:rsidRDefault="002F2C6A" w:rsidP="002F2C6A">
      <w:pPr>
        <w:ind w:firstLine="708"/>
        <w:contextualSpacing/>
      </w:pPr>
      <w:r>
        <w:t>Podľa správneho poriadku sa môže správne konanie začať buď na návrh účastníkov (dispozičná zásada) konania alebo na podnet správneho orgánu (zásada oficiality), pričom spôsob začatia upravuje hmotnoprávny predpis. V prípade živnostenského podnikania sa konanie začína na návrh uchádzača o prevádzkovanie živnosti tak, ako ustanovuje živnostenský zákon. Ak konanie začne na návrh účastníka, začína sa dňom, kedy bolo podanie účastníka doručené správnemu orgánu príslušnému vo veci rozhodnúť, pričom musí spĺňať stanovené náležitosti   (</w:t>
      </w:r>
      <w:r w:rsidRPr="00224B7C">
        <w:t>kto ho podáva, akej veci sa týka a čo sa v ňom navrhuje)</w:t>
      </w:r>
      <w:r>
        <w:t xml:space="preserve">. </w:t>
      </w:r>
      <w:r w:rsidRPr="00224B7C">
        <w:t>Ak podanie nesplňuje predpísané náležitosti, správny orgán pomôže navrhovateľovi dané nedostatky podania odstrániť resp. ho vyzve, aby ich do stanovenej lehoty sám odstránil</w:t>
      </w:r>
      <w:r>
        <w:t xml:space="preserve">, </w:t>
      </w:r>
      <w:r w:rsidRPr="00224B7C">
        <w:t>ak sa tak nenastane do stanovenej lehoty 7 dní</w:t>
      </w:r>
      <w:r>
        <w:t>, konanie sa zastaví</w:t>
      </w:r>
      <w:r w:rsidRPr="00224B7C">
        <w:t>.</w:t>
      </w:r>
      <w:r>
        <w:t xml:space="preserve"> Každá fyzická a právnická osoba, ktorá chce prevádzkovať ohlasovaciu živnosť, je povinná ohlásiť to miestne príslušnému živnostenskému úradu vzhľadom na bydlisko fyzickej osoby a sídlo právnickej osoby (náležitosti ohlásenia živnosti sú rozdielne). V prípade koncesovaných živností sa živnostenské oprávnenie vydáva na základe schválenia a udelenia štátom (náležitosti žiadosti o koncesiu bližšie upravuje živnostenský zákon). Ak podania </w:t>
      </w:r>
      <w:r w:rsidRPr="00FD1350">
        <w:t>neobsahuj</w:t>
      </w:r>
      <w:r>
        <w:t>ú</w:t>
      </w:r>
      <w:r w:rsidRPr="00FD1350">
        <w:t xml:space="preserve"> všetky náležitosti ustanovené živnostenským zákonom, živnostenský úrad vyzve podnikateľa, aby zistené nedostatky odstránil, pričom mu vo výzve určí primeranú lehotu na </w:t>
      </w:r>
      <w:r>
        <w:t xml:space="preserve">ich </w:t>
      </w:r>
      <w:r w:rsidRPr="00FD1350">
        <w:t xml:space="preserve">odstránenie (najmenej 15 dní). V prípade závažných dôvodov, môže živnostenský úrad na žiadosť podnikateľa predĺžiť túto lehotu, a to aj opakovane. Po odstránení nedostatkov sa z podania stáva ohlásenie so všetkými právnymi dôsledkami (týmto dňom vzniká živnostenské oprávnenie) a živnostenskému úradu začína plynúť lehota </w:t>
      </w:r>
      <w:r>
        <w:t xml:space="preserve">na vydanie rozhodnutia. Ak podnikateľ v určenej lehote </w:t>
      </w:r>
      <w:r w:rsidRPr="00414953">
        <w:t>neodstráni</w:t>
      </w:r>
      <w:r>
        <w:t>l</w:t>
      </w:r>
      <w:r w:rsidRPr="00414953">
        <w:t xml:space="preserve"> nedostatk</w:t>
      </w:r>
      <w:r>
        <w:t>y</w:t>
      </w:r>
      <w:r w:rsidRPr="00414953">
        <w:t xml:space="preserve"> </w:t>
      </w:r>
      <w:r>
        <w:t xml:space="preserve">svojho podania, </w:t>
      </w:r>
      <w:r w:rsidRPr="00DF24E7">
        <w:t xml:space="preserve">nadobúda </w:t>
      </w:r>
      <w:r>
        <w:t xml:space="preserve">živnostenský úrad </w:t>
      </w:r>
      <w:r w:rsidRPr="00DF24E7">
        <w:t xml:space="preserve">právo a </w:t>
      </w:r>
      <w:r w:rsidRPr="00DF24E7">
        <w:rPr>
          <w:bCs/>
        </w:rPr>
        <w:t>povinnosť zastaviť konanie</w:t>
      </w:r>
      <w:r w:rsidRPr="00DF24E7">
        <w:t>. Voči rozhodnutiu o zastavení konania je možné odvolať sa, pričom platia príslušné ustanovenia správneho poriadku (15-dňová lehota od doručenia rozhodnutia).</w:t>
      </w:r>
    </w:p>
    <w:p w:rsidR="002F2C6A" w:rsidRDefault="002F2C6A" w:rsidP="002F2C6A">
      <w:pPr>
        <w:contextualSpacing/>
      </w:pPr>
      <w:r>
        <w:lastRenderedPageBreak/>
        <w:tab/>
        <w:t xml:space="preserve">Správny orgán je povinný zistiť skutočný stav veci, preto pre rozhodnutie v danej veci obstaráva a následne hodnotí dôkazné materiály (výsluch svedkov, znalecký posudok, listiny a ohliadka). Uchádzač o živnostenské oprávnenie musí živnostenskému úradu predložiť doklady potrebné pre vydanie samotného rozhodnutia (výpis z registra trestov, doklad o odbornej spôsobilosti a bezúhonnosti). </w:t>
      </w:r>
    </w:p>
    <w:p w:rsidR="002F2C6A" w:rsidRDefault="002F2C6A" w:rsidP="002F2C6A">
      <w:pPr>
        <w:ind w:firstLine="708"/>
        <w:contextualSpacing/>
      </w:pPr>
      <w:r w:rsidRPr="00A40224">
        <w:t xml:space="preserve">Všetky rozhodnutia vydané v správnom konaní majú povahu individuálneho správneho aktu, </w:t>
      </w:r>
      <w:r>
        <w:t xml:space="preserve">prostredníctvom </w:t>
      </w:r>
      <w:r w:rsidRPr="00A40224">
        <w:t>ktor</w:t>
      </w:r>
      <w:r>
        <w:t>ého</w:t>
      </w:r>
      <w:r w:rsidRPr="00A40224">
        <w:t xml:space="preserve"> </w:t>
      </w:r>
      <w:r>
        <w:t>živnostenský úrad</w:t>
      </w:r>
      <w:r w:rsidRPr="00A40224">
        <w:t xml:space="preserve"> </w:t>
      </w:r>
      <w:r>
        <w:t>zakladá, mení alebo ruší</w:t>
      </w:r>
      <w:r w:rsidRPr="00A40224">
        <w:t xml:space="preserve"> práv</w:t>
      </w:r>
      <w:r>
        <w:t>a a povinnosti</w:t>
      </w:r>
      <w:r w:rsidRPr="00A40224">
        <w:t xml:space="preserve"> podnikateľa vykonávať živnosť. Rozhodnutie musí byť v súlade so zákonmi a ostatnými právnymi predpismi, musí vychádzať zo zisteného skutkového stavu a musí obsahovať predpísané náležitosti</w:t>
      </w:r>
      <w:r>
        <w:t xml:space="preserve"> (výrok, odôvodnenie a poučenie o odvolaní)</w:t>
      </w:r>
      <w:r w:rsidRPr="00A40224">
        <w:t xml:space="preserve">. Rozhodnutie nadobudne právoplatnosť márnym uplynutím lehoty určenej v rozhodnutí na podanie odvolania. </w:t>
      </w:r>
      <w:r>
        <w:t xml:space="preserve">Správny poriadok určil v oblasti rozhodovania pre správne orgány poriadkové lehoty, ktorých nedodržanie nemá bezprostredný vplyv na práva účastníkov konania: v jednoduchých veciach bezodkladne, v ostatných prípadoch do 30 dní a v zložitejších prípadoch najneskôr do 60 dní, resp. predĺženie lehoty. Živnostenské podnikanie sa v oblasti právnej úpravy účinkov návrhu na začatie konania a vydania rozhodnutia v porovnaní so správnym poriadkom odlišuje. </w:t>
      </w:r>
      <w:r w:rsidRPr="00FD1350">
        <w:t>Živnostenský úrad je povinný vydať u ohlasovaných živností živnostenský list, a to najneskôr do 5 pracovných dní odo dňa, keď mu boli doručené ohláse</w:t>
      </w:r>
      <w:r>
        <w:t xml:space="preserve">nie. Podnikateľ však môže prevádzkovať svoju živnosť ešte pred vydaním živnostenského listu, a to na základe ohlásenia (okamih vzniku živnostenského oprávnenia). </w:t>
      </w:r>
      <w:r>
        <w:rPr>
          <w:bCs/>
        </w:rPr>
        <w:t>U</w:t>
      </w:r>
      <w:r w:rsidRPr="005F311E">
        <w:rPr>
          <w:bCs/>
        </w:rPr>
        <w:t xml:space="preserve"> koncesovaných živností</w:t>
      </w:r>
      <w:r w:rsidRPr="00414953">
        <w:t xml:space="preserve"> </w:t>
      </w:r>
      <w:r>
        <w:t xml:space="preserve">musí živnostenský úrad rozhodnúť o vydaní koncesnej listiny do 30 dní </w:t>
      </w:r>
      <w:r w:rsidRPr="00414953">
        <w:t>odo dňa doručenia žiadosti</w:t>
      </w:r>
      <w:r>
        <w:t xml:space="preserve">, nakoľko na </w:t>
      </w:r>
      <w:r w:rsidRPr="00414953">
        <w:t>procesn</w:t>
      </w:r>
      <w:r>
        <w:t>om</w:t>
      </w:r>
      <w:r w:rsidRPr="00414953">
        <w:t xml:space="preserve"> postup</w:t>
      </w:r>
      <w:r>
        <w:t>e</w:t>
      </w:r>
      <w:r w:rsidRPr="00414953">
        <w:t xml:space="preserve"> prerokovania žiadosti</w:t>
      </w:r>
      <w:r>
        <w:t xml:space="preserve"> </w:t>
      </w:r>
      <w:r w:rsidRPr="00414953">
        <w:t>participujú aj ďalšie orgány</w:t>
      </w:r>
      <w:r>
        <w:t xml:space="preserve">. Oprávnenie prevádzkovať koncesnú živnosť je možné až dňom doručenia rozhodnutia, nie teda dňom nadobudnutia jeho právoplatnosti. Ak </w:t>
      </w:r>
      <w:r w:rsidRPr="00351546">
        <w:rPr>
          <w:bCs/>
        </w:rPr>
        <w:t>živnostenské oprávnenie nevzniklo</w:t>
      </w:r>
      <w:r>
        <w:rPr>
          <w:bCs/>
        </w:rPr>
        <w:t>,</w:t>
      </w:r>
      <w:r w:rsidRPr="00414953">
        <w:t xml:space="preserve"> </w:t>
      </w:r>
      <w:r>
        <w:t>ž</w:t>
      </w:r>
      <w:r w:rsidRPr="00414953">
        <w:t xml:space="preserve">ivnostenský úrad musí </w:t>
      </w:r>
      <w:r>
        <w:t xml:space="preserve">o tom vydať </w:t>
      </w:r>
      <w:r w:rsidRPr="00351546">
        <w:rPr>
          <w:bCs/>
        </w:rPr>
        <w:t>rozhodnutie v lehote 5 pracovných dní</w:t>
      </w:r>
      <w:r>
        <w:rPr>
          <w:bCs/>
        </w:rPr>
        <w:t>,</w:t>
      </w:r>
      <w:r w:rsidRPr="00414953">
        <w:t xml:space="preserve"> inak by bol povinný v tejto lehote vydať živnostenský list.</w:t>
      </w:r>
    </w:p>
    <w:p w:rsidR="002F2C6A" w:rsidRDefault="002F2C6A" w:rsidP="002F2C6A">
      <w:pPr>
        <w:ind w:firstLine="708"/>
        <w:contextualSpacing/>
      </w:pPr>
      <w:r>
        <w:t xml:space="preserve">Ak </w:t>
      </w:r>
      <w:r w:rsidRPr="00A40224">
        <w:t>podnikate</w:t>
      </w:r>
      <w:r>
        <w:t>ľ</w:t>
      </w:r>
      <w:r w:rsidRPr="00A40224">
        <w:t xml:space="preserve"> </w:t>
      </w:r>
      <w:r>
        <w:t>ne</w:t>
      </w:r>
      <w:r w:rsidRPr="00A40224">
        <w:t>využ</w:t>
      </w:r>
      <w:r>
        <w:t>ije</w:t>
      </w:r>
      <w:r w:rsidRPr="00A40224">
        <w:t xml:space="preserve"> právo odvola</w:t>
      </w:r>
      <w:r>
        <w:t>ť sa,</w:t>
      </w:r>
      <w:r w:rsidRPr="00A40224">
        <w:t xml:space="preserve"> rozhodnutie </w:t>
      </w:r>
      <w:r>
        <w:t xml:space="preserve">nadobudne </w:t>
      </w:r>
      <w:r w:rsidRPr="00A40224">
        <w:t xml:space="preserve">právoplatnosť okamžite. V prípade, </w:t>
      </w:r>
      <w:r>
        <w:t>ak</w:t>
      </w:r>
      <w:r w:rsidRPr="00A40224">
        <w:t xml:space="preserve"> </w:t>
      </w:r>
      <w:r>
        <w:t>živnostenský úrad</w:t>
      </w:r>
      <w:r w:rsidRPr="00A40224">
        <w:t xml:space="preserve"> </w:t>
      </w:r>
      <w:r>
        <w:t xml:space="preserve">svojím </w:t>
      </w:r>
      <w:r w:rsidRPr="00A40224">
        <w:t>rozhodnutím zamietol žiadosť účastníka konania</w:t>
      </w:r>
      <w:r>
        <w:t xml:space="preserve"> na vykonávanie živnosti a podnikateľ</w:t>
      </w:r>
      <w:r w:rsidRPr="00A40224">
        <w:t xml:space="preserve"> </w:t>
      </w:r>
      <w:r>
        <w:t>využije právo podania opravného prostriedku</w:t>
      </w:r>
      <w:r w:rsidRPr="00A40224">
        <w:t xml:space="preserve">, </w:t>
      </w:r>
      <w:r>
        <w:t xml:space="preserve">celá vec </w:t>
      </w:r>
      <w:r w:rsidRPr="00A40224">
        <w:t>bude preskúman</w:t>
      </w:r>
      <w:r>
        <w:t>á</w:t>
      </w:r>
      <w:r w:rsidRPr="00A40224">
        <w:t xml:space="preserve"> nadriadeným správnym orgánom.</w:t>
      </w:r>
    </w:p>
    <w:p w:rsidR="002F2C6A" w:rsidRDefault="002F2C6A" w:rsidP="002F2C6A">
      <w:pPr>
        <w:pStyle w:val="Zkladntext"/>
        <w:spacing w:line="360" w:lineRule="auto"/>
        <w:ind w:firstLine="708"/>
        <w:contextualSpacing/>
      </w:pPr>
      <w:r w:rsidRPr="008651CA">
        <w:t>Informácie o správnych poplatkoch sú uvedené v prílohe 4.</w:t>
      </w:r>
    </w:p>
    <w:p w:rsidR="00CF141A" w:rsidRDefault="00CF141A" w:rsidP="00CF141A">
      <w:pPr>
        <w:pStyle w:val="Zkladntext"/>
        <w:spacing w:line="360" w:lineRule="auto"/>
        <w:contextualSpacing/>
        <w:rPr>
          <w:b/>
        </w:rPr>
      </w:pPr>
    </w:p>
    <w:p w:rsidR="002F2C6A" w:rsidRDefault="002F2C6A" w:rsidP="00CF141A">
      <w:pPr>
        <w:pStyle w:val="Zkladntext"/>
        <w:spacing w:line="360" w:lineRule="auto"/>
        <w:contextualSpacing/>
        <w:rPr>
          <w:b/>
        </w:rPr>
      </w:pPr>
    </w:p>
    <w:p w:rsidR="002F2C6A" w:rsidRDefault="002F2C6A" w:rsidP="00472F63">
      <w:pPr>
        <w:pStyle w:val="ZPPodNadpis3urovenTimesNewRoman"/>
      </w:pPr>
      <w:r>
        <w:lastRenderedPageBreak/>
        <w:t>Rozhodnutia o zániku a pozastavení živnostenského oprávnenia v právnej úprave živnostenského zákona v porovnaní so správnym poriadkom</w:t>
      </w:r>
    </w:p>
    <w:p w:rsidR="002F2C6A" w:rsidRDefault="002F2C6A" w:rsidP="002F2C6A">
      <w:pPr>
        <w:ind w:firstLine="708"/>
        <w:contextualSpacing/>
      </w:pPr>
      <w:r>
        <w:t xml:space="preserve">Pri zániku a pozastavení živnostenského podnikania postupujú živnostenské úrady podobným spôsobom ako v prípade jeho vzniku, teda podľa ustanovení správneho poriadku, pričom živnostenský zákon taxatívne stanovuje prípady vyúsťujúce do nich.  </w:t>
      </w:r>
    </w:p>
    <w:p w:rsidR="002F2C6A" w:rsidRDefault="002F2C6A" w:rsidP="002F2C6A">
      <w:pPr>
        <w:ind w:firstLine="708"/>
        <w:contextualSpacing/>
      </w:pPr>
      <w:r>
        <w:t>K zániku, teda k zrušeniu živnostenského oprávnenia dochádza buď zo zákona alebo na základe vydaného rozhodnutia zo strany živnostenského úradu. Ide o individuálny správny akt, ktorý sa ruší rozhodnutím miestne príslušného živnostenského úradu a zaniká dňom právoplatnosti o jeho zrušení. Úprava zániku živnostenského oprávnenia sa bez výnimky vzťahuje na všetky druhy živností, čo znamená na ohlasovacie aj koncesované. Pri zániku živnostenského oprávnenia je podnikateľ povinný vrátiť živnostenský list alebo koncesovanú listinu späť na živnostenský úrad, v opačnom prípade je sankciovaný.</w:t>
      </w:r>
    </w:p>
    <w:p w:rsidR="002F2C6A" w:rsidRDefault="002F2C6A" w:rsidP="002F2C6A">
      <w:pPr>
        <w:pStyle w:val="Zkladntext"/>
        <w:spacing w:line="360" w:lineRule="auto"/>
        <w:contextualSpacing/>
        <w:rPr>
          <w:b/>
        </w:rPr>
      </w:pPr>
      <w:r>
        <w:rPr>
          <w:sz w:val="28"/>
          <w:szCs w:val="28"/>
        </w:rPr>
        <w:tab/>
      </w:r>
      <w:r>
        <w:t>Naopak v prípade pozastavenia prevádzkovania živnosti nezaniká podnikateľovi právo prevádzkovať živnosť, pretože po uplynutí lehoty, stanovenej živnostenským úradom, ju môže opätovne vykonávať.</w:t>
      </w:r>
    </w:p>
    <w:p w:rsidR="002F2C6A" w:rsidRPr="00CF141A" w:rsidRDefault="002F2C6A" w:rsidP="00CF141A">
      <w:pPr>
        <w:pStyle w:val="Zkladntext"/>
        <w:spacing w:line="360" w:lineRule="auto"/>
        <w:contextualSpacing/>
        <w:rPr>
          <w:b/>
        </w:rPr>
      </w:pPr>
    </w:p>
    <w:p w:rsidR="0098758A" w:rsidRPr="0098758A" w:rsidRDefault="0098758A" w:rsidP="00CF141A">
      <w:pPr>
        <w:pStyle w:val="ZPPodNadpisKapitolyTimesNewRoman"/>
      </w:pPr>
      <w:r w:rsidRPr="0098758A">
        <w:t>Analýza živnostenského podnikania v podmienkach Slovenskej republiky</w:t>
      </w:r>
      <w:r w:rsidR="002F2C6A">
        <w:t xml:space="preserve"> a jej jednotlivých oblastiach</w:t>
      </w:r>
    </w:p>
    <w:p w:rsidR="006803C0" w:rsidRPr="00344365" w:rsidRDefault="006803C0" w:rsidP="006803C0">
      <w:pPr>
        <w:ind w:firstLine="708"/>
        <w:contextualSpacing/>
        <w:rPr>
          <w:bCs/>
        </w:rPr>
      </w:pPr>
      <w:r w:rsidRPr="00344365">
        <w:rPr>
          <w:bCs/>
        </w:rPr>
        <w:t xml:space="preserve">Počet podnikateľských subjektov nie je fixný, ale naopak neustále sa meniaci. Každým rokom sa zvyšuje počet podnikateľov, niektorí však svoju podnikateľskú činnosť aj rušia. </w:t>
      </w:r>
    </w:p>
    <w:p w:rsidR="006B3404" w:rsidRDefault="006803C0" w:rsidP="006B3404">
      <w:pPr>
        <w:spacing w:before="0"/>
        <w:ind w:firstLine="708"/>
        <w:contextualSpacing/>
        <w:rPr>
          <w:bCs/>
        </w:rPr>
      </w:pPr>
      <w:r w:rsidRPr="00344365">
        <w:rPr>
          <w:bCs/>
        </w:rPr>
        <w:t xml:space="preserve">Vývoj ekonomických subjektov mal v nami sledovanom období 2004 - 2008 kolísavý charakter. K 31.12. 2008 bolo v Slovenskej republike celkovo evidovaných 588 181 ekonomických subjektov, z toho 169 960 právnických osôb a 418 221 fyzických osôb, čo v porovnaní s rokom 2004 predstavuje nárast o 19,30 %. Z pohľadu právnických osôb bol v roku 2008 v porovnaní s rokom 2004 celkovo zaznamenaný nárast o 55 675, avšak tento počet vzrastal len u obchodných spoločností a ostatných organizácií, u ostatných druhov právnických osôb prišlo k poklesu. Podobne aj u fyzických osôb bol zaznamenaný </w:t>
      </w:r>
      <w:r>
        <w:rPr>
          <w:bCs/>
        </w:rPr>
        <w:t xml:space="preserve">celkový </w:t>
      </w:r>
      <w:r w:rsidRPr="00344365">
        <w:rPr>
          <w:bCs/>
        </w:rPr>
        <w:t>nárast, a to konkrétne o 57 843, pričom najväčší podiel na vzraste mali živnostníci (16,70 %). K poklesu počtu fyzických osôb prišlo len v oblasti samostatne hospodáriacich roľníkov.</w:t>
      </w:r>
    </w:p>
    <w:p w:rsidR="006B3404" w:rsidRPr="00344365" w:rsidRDefault="006B3404" w:rsidP="008A19EF">
      <w:pPr>
        <w:contextualSpacing/>
        <w:jc w:val="left"/>
        <w:rPr>
          <w:b/>
          <w:bCs/>
        </w:rPr>
      </w:pPr>
      <w:r w:rsidRPr="00344365">
        <w:rPr>
          <w:b/>
          <w:bCs/>
        </w:rPr>
        <w:lastRenderedPageBreak/>
        <w:t>Ekonomické subjekty podľa právnych noriem na území SR                                 v sledovanom období 2004 - 2008</w:t>
      </w:r>
    </w:p>
    <w:p w:rsidR="006B3404" w:rsidRPr="00344365" w:rsidRDefault="00CD2E87" w:rsidP="00A30D85">
      <w:pPr>
        <w:spacing w:line="240" w:lineRule="auto"/>
        <w:contextualSpacing/>
        <w:jc w:val="right"/>
        <w:rPr>
          <w:b/>
          <w:bCs/>
        </w:rPr>
      </w:pPr>
      <w:r>
        <w:rPr>
          <w:b/>
          <w:bCs/>
        </w:rPr>
        <w:t xml:space="preserve">                                                                                                                           </w:t>
      </w:r>
      <w:r w:rsidR="006B3404" w:rsidRPr="00344365">
        <w:rPr>
          <w:b/>
          <w:bCs/>
        </w:rPr>
        <w:t>Tabuľka 1</w:t>
      </w:r>
    </w:p>
    <w:tbl>
      <w:tblPr>
        <w:tblW w:w="8804" w:type="dxa"/>
        <w:jc w:val="center"/>
        <w:tblLayout w:type="fixed"/>
        <w:tblCellMar>
          <w:left w:w="70" w:type="dxa"/>
          <w:right w:w="70" w:type="dxa"/>
        </w:tblCellMar>
        <w:tblLook w:val="04A0"/>
      </w:tblPr>
      <w:tblGrid>
        <w:gridCol w:w="2940"/>
        <w:gridCol w:w="1172"/>
        <w:gridCol w:w="1173"/>
        <w:gridCol w:w="1173"/>
        <w:gridCol w:w="1173"/>
        <w:gridCol w:w="1173"/>
      </w:tblGrid>
      <w:tr w:rsidR="006B3404" w:rsidRPr="00344365" w:rsidTr="003C3829">
        <w:trPr>
          <w:trHeight w:val="300"/>
          <w:jc w:val="center"/>
        </w:trPr>
        <w:tc>
          <w:tcPr>
            <w:tcW w:w="2940" w:type="dxa"/>
            <w:tcBorders>
              <w:top w:val="single" w:sz="18" w:space="0" w:color="auto"/>
              <w:left w:val="single" w:sz="18" w:space="0" w:color="auto"/>
              <w:bottom w:val="single" w:sz="18" w:space="0" w:color="auto"/>
              <w:right w:val="single" w:sz="4" w:space="0" w:color="auto"/>
            </w:tcBorders>
            <w:shd w:val="clear" w:color="auto" w:fill="auto"/>
            <w:noWrap/>
            <w:vAlign w:val="center"/>
            <w:hideMark/>
          </w:tcPr>
          <w:p w:rsidR="006B3404" w:rsidRPr="008A19EF" w:rsidRDefault="006B3404" w:rsidP="00CD2E87">
            <w:pPr>
              <w:spacing w:line="240" w:lineRule="auto"/>
              <w:contextualSpacing/>
              <w:jc w:val="center"/>
              <w:rPr>
                <w:b/>
                <w:color w:val="000000"/>
                <w:sz w:val="20"/>
                <w:szCs w:val="20"/>
              </w:rPr>
            </w:pPr>
          </w:p>
        </w:tc>
        <w:tc>
          <w:tcPr>
            <w:tcW w:w="1172" w:type="dxa"/>
            <w:tcBorders>
              <w:top w:val="single" w:sz="18" w:space="0" w:color="auto"/>
              <w:left w:val="nil"/>
              <w:bottom w:val="single" w:sz="18" w:space="0" w:color="auto"/>
              <w:right w:val="single" w:sz="4" w:space="0" w:color="auto"/>
            </w:tcBorders>
            <w:shd w:val="clear" w:color="auto" w:fill="auto"/>
            <w:noWrap/>
            <w:vAlign w:val="center"/>
            <w:hideMark/>
          </w:tcPr>
          <w:p w:rsidR="006B3404" w:rsidRPr="008A19EF" w:rsidRDefault="006B3404" w:rsidP="00CD2E87">
            <w:pPr>
              <w:spacing w:line="240" w:lineRule="auto"/>
              <w:contextualSpacing/>
              <w:jc w:val="center"/>
              <w:rPr>
                <w:b/>
                <w:color w:val="000000"/>
                <w:sz w:val="20"/>
                <w:szCs w:val="20"/>
              </w:rPr>
            </w:pPr>
            <w:r w:rsidRPr="008A19EF">
              <w:rPr>
                <w:b/>
                <w:color w:val="000000"/>
                <w:sz w:val="20"/>
                <w:szCs w:val="20"/>
              </w:rPr>
              <w:t>2004</w:t>
            </w:r>
          </w:p>
        </w:tc>
        <w:tc>
          <w:tcPr>
            <w:tcW w:w="1173" w:type="dxa"/>
            <w:tcBorders>
              <w:top w:val="single" w:sz="18" w:space="0" w:color="auto"/>
              <w:left w:val="nil"/>
              <w:bottom w:val="single" w:sz="18" w:space="0" w:color="auto"/>
              <w:right w:val="single" w:sz="4" w:space="0" w:color="auto"/>
            </w:tcBorders>
            <w:shd w:val="clear" w:color="auto" w:fill="auto"/>
            <w:noWrap/>
            <w:vAlign w:val="center"/>
            <w:hideMark/>
          </w:tcPr>
          <w:p w:rsidR="006B3404" w:rsidRPr="008A19EF" w:rsidRDefault="006B3404" w:rsidP="00CD2E87">
            <w:pPr>
              <w:spacing w:line="240" w:lineRule="auto"/>
              <w:contextualSpacing/>
              <w:jc w:val="center"/>
              <w:rPr>
                <w:b/>
                <w:color w:val="000000"/>
                <w:sz w:val="20"/>
                <w:szCs w:val="20"/>
              </w:rPr>
            </w:pPr>
            <w:r w:rsidRPr="008A19EF">
              <w:rPr>
                <w:b/>
                <w:color w:val="000000"/>
                <w:sz w:val="20"/>
                <w:szCs w:val="20"/>
              </w:rPr>
              <w:t>2005</w:t>
            </w:r>
          </w:p>
        </w:tc>
        <w:tc>
          <w:tcPr>
            <w:tcW w:w="1173" w:type="dxa"/>
            <w:tcBorders>
              <w:top w:val="single" w:sz="18" w:space="0" w:color="auto"/>
              <w:left w:val="nil"/>
              <w:bottom w:val="single" w:sz="18" w:space="0" w:color="auto"/>
              <w:right w:val="single" w:sz="4" w:space="0" w:color="auto"/>
            </w:tcBorders>
            <w:shd w:val="clear" w:color="auto" w:fill="auto"/>
            <w:noWrap/>
            <w:vAlign w:val="center"/>
            <w:hideMark/>
          </w:tcPr>
          <w:p w:rsidR="006B3404" w:rsidRPr="008A19EF" w:rsidRDefault="006B3404" w:rsidP="00CD2E87">
            <w:pPr>
              <w:spacing w:line="240" w:lineRule="auto"/>
              <w:contextualSpacing/>
              <w:jc w:val="center"/>
              <w:rPr>
                <w:b/>
                <w:color w:val="000000"/>
                <w:sz w:val="20"/>
                <w:szCs w:val="20"/>
              </w:rPr>
            </w:pPr>
            <w:r w:rsidRPr="008A19EF">
              <w:rPr>
                <w:b/>
                <w:color w:val="000000"/>
                <w:sz w:val="20"/>
                <w:szCs w:val="20"/>
              </w:rPr>
              <w:t>2006</w:t>
            </w:r>
          </w:p>
        </w:tc>
        <w:tc>
          <w:tcPr>
            <w:tcW w:w="1173" w:type="dxa"/>
            <w:tcBorders>
              <w:top w:val="single" w:sz="18" w:space="0" w:color="auto"/>
              <w:left w:val="nil"/>
              <w:bottom w:val="single" w:sz="18" w:space="0" w:color="auto"/>
              <w:right w:val="single" w:sz="4" w:space="0" w:color="auto"/>
            </w:tcBorders>
            <w:shd w:val="clear" w:color="auto" w:fill="auto"/>
            <w:noWrap/>
            <w:vAlign w:val="center"/>
            <w:hideMark/>
          </w:tcPr>
          <w:p w:rsidR="006B3404" w:rsidRPr="008A19EF" w:rsidRDefault="006B3404" w:rsidP="00CD2E87">
            <w:pPr>
              <w:spacing w:line="240" w:lineRule="auto"/>
              <w:contextualSpacing/>
              <w:jc w:val="center"/>
              <w:rPr>
                <w:b/>
                <w:color w:val="000000"/>
                <w:sz w:val="20"/>
                <w:szCs w:val="20"/>
              </w:rPr>
            </w:pPr>
            <w:r w:rsidRPr="008A19EF">
              <w:rPr>
                <w:b/>
                <w:color w:val="000000"/>
                <w:sz w:val="20"/>
                <w:szCs w:val="20"/>
              </w:rPr>
              <w:t>2007</w:t>
            </w:r>
          </w:p>
        </w:tc>
        <w:tc>
          <w:tcPr>
            <w:tcW w:w="1173" w:type="dxa"/>
            <w:tcBorders>
              <w:top w:val="single" w:sz="18" w:space="0" w:color="auto"/>
              <w:left w:val="nil"/>
              <w:bottom w:val="single" w:sz="18" w:space="0" w:color="auto"/>
              <w:right w:val="single" w:sz="18" w:space="0" w:color="auto"/>
            </w:tcBorders>
            <w:shd w:val="clear" w:color="auto" w:fill="auto"/>
            <w:noWrap/>
            <w:vAlign w:val="center"/>
            <w:hideMark/>
          </w:tcPr>
          <w:p w:rsidR="006B3404" w:rsidRPr="008A19EF" w:rsidRDefault="006B3404" w:rsidP="00CD2E87">
            <w:pPr>
              <w:spacing w:line="240" w:lineRule="auto"/>
              <w:contextualSpacing/>
              <w:jc w:val="center"/>
              <w:rPr>
                <w:b/>
                <w:color w:val="000000"/>
                <w:sz w:val="20"/>
                <w:szCs w:val="20"/>
              </w:rPr>
            </w:pPr>
            <w:r w:rsidRPr="008A19EF">
              <w:rPr>
                <w:b/>
                <w:color w:val="000000"/>
                <w:sz w:val="20"/>
                <w:szCs w:val="20"/>
              </w:rPr>
              <w:t>2008</w:t>
            </w:r>
          </w:p>
        </w:tc>
      </w:tr>
      <w:tr w:rsidR="006B3404" w:rsidRPr="00344365" w:rsidTr="003C3829">
        <w:trPr>
          <w:trHeight w:val="300"/>
          <w:jc w:val="center"/>
        </w:trPr>
        <w:tc>
          <w:tcPr>
            <w:tcW w:w="2940" w:type="dxa"/>
            <w:tcBorders>
              <w:top w:val="single" w:sz="18" w:space="0" w:color="auto"/>
              <w:left w:val="single" w:sz="18" w:space="0" w:color="auto"/>
              <w:bottom w:val="single" w:sz="18" w:space="0" w:color="auto"/>
              <w:right w:val="single" w:sz="4" w:space="0" w:color="auto"/>
            </w:tcBorders>
            <w:shd w:val="clear" w:color="auto" w:fill="FFFF00"/>
            <w:noWrap/>
            <w:vAlign w:val="center"/>
            <w:hideMark/>
          </w:tcPr>
          <w:p w:rsidR="006B3404" w:rsidRPr="008A19EF" w:rsidRDefault="006B3404" w:rsidP="008C1B7E">
            <w:pPr>
              <w:spacing w:line="240" w:lineRule="auto"/>
              <w:contextualSpacing/>
              <w:jc w:val="left"/>
              <w:rPr>
                <w:color w:val="000000"/>
                <w:sz w:val="20"/>
                <w:szCs w:val="20"/>
              </w:rPr>
            </w:pPr>
            <w:r w:rsidRPr="008A19EF">
              <w:rPr>
                <w:b/>
                <w:color w:val="000000"/>
                <w:sz w:val="20"/>
                <w:szCs w:val="20"/>
              </w:rPr>
              <w:t>Právnické osoby spolu</w:t>
            </w:r>
          </w:p>
        </w:tc>
        <w:tc>
          <w:tcPr>
            <w:tcW w:w="1172" w:type="dxa"/>
            <w:tcBorders>
              <w:top w:val="single" w:sz="18" w:space="0" w:color="auto"/>
              <w:left w:val="nil"/>
              <w:bottom w:val="single" w:sz="18" w:space="0" w:color="auto"/>
              <w:right w:val="single" w:sz="4" w:space="0" w:color="auto"/>
            </w:tcBorders>
            <w:shd w:val="clear" w:color="auto" w:fill="FFFF00"/>
            <w:noWrap/>
            <w:vAlign w:val="center"/>
            <w:hideMark/>
          </w:tcPr>
          <w:p w:rsidR="006B3404" w:rsidRPr="008A19EF" w:rsidRDefault="006B3404" w:rsidP="008C1B7E">
            <w:pPr>
              <w:spacing w:line="240" w:lineRule="auto"/>
              <w:contextualSpacing/>
              <w:jc w:val="right"/>
              <w:rPr>
                <w:color w:val="000000"/>
                <w:sz w:val="20"/>
                <w:szCs w:val="20"/>
              </w:rPr>
            </w:pPr>
            <w:r w:rsidRPr="008A19EF">
              <w:rPr>
                <w:color w:val="000000"/>
                <w:sz w:val="20"/>
                <w:szCs w:val="20"/>
              </w:rPr>
              <w:t>114285</w:t>
            </w:r>
          </w:p>
        </w:tc>
        <w:tc>
          <w:tcPr>
            <w:tcW w:w="1173" w:type="dxa"/>
            <w:tcBorders>
              <w:top w:val="single" w:sz="18" w:space="0" w:color="auto"/>
              <w:left w:val="nil"/>
              <w:bottom w:val="single" w:sz="18" w:space="0" w:color="auto"/>
              <w:right w:val="single" w:sz="4" w:space="0" w:color="auto"/>
            </w:tcBorders>
            <w:shd w:val="clear" w:color="auto" w:fill="FFFF00"/>
            <w:noWrap/>
            <w:vAlign w:val="center"/>
            <w:hideMark/>
          </w:tcPr>
          <w:p w:rsidR="006B3404" w:rsidRPr="008A19EF" w:rsidRDefault="006B3404" w:rsidP="008C1B7E">
            <w:pPr>
              <w:spacing w:line="240" w:lineRule="auto"/>
              <w:contextualSpacing/>
              <w:jc w:val="right"/>
              <w:rPr>
                <w:color w:val="000000"/>
                <w:sz w:val="20"/>
                <w:szCs w:val="20"/>
              </w:rPr>
            </w:pPr>
            <w:r w:rsidRPr="008A19EF">
              <w:rPr>
                <w:color w:val="000000"/>
                <w:sz w:val="20"/>
                <w:szCs w:val="20"/>
              </w:rPr>
              <w:t>126777</w:t>
            </w:r>
          </w:p>
        </w:tc>
        <w:tc>
          <w:tcPr>
            <w:tcW w:w="1173" w:type="dxa"/>
            <w:tcBorders>
              <w:top w:val="single" w:sz="18" w:space="0" w:color="auto"/>
              <w:left w:val="nil"/>
              <w:bottom w:val="single" w:sz="18" w:space="0" w:color="auto"/>
              <w:right w:val="single" w:sz="4" w:space="0" w:color="auto"/>
            </w:tcBorders>
            <w:shd w:val="clear" w:color="auto" w:fill="FFFF00"/>
            <w:noWrap/>
            <w:vAlign w:val="center"/>
            <w:hideMark/>
          </w:tcPr>
          <w:p w:rsidR="006B3404" w:rsidRPr="008A19EF" w:rsidRDefault="006B3404" w:rsidP="008C1B7E">
            <w:pPr>
              <w:spacing w:line="240" w:lineRule="auto"/>
              <w:contextualSpacing/>
              <w:jc w:val="right"/>
              <w:rPr>
                <w:color w:val="000000"/>
                <w:sz w:val="20"/>
                <w:szCs w:val="20"/>
              </w:rPr>
            </w:pPr>
            <w:r w:rsidRPr="008A19EF">
              <w:rPr>
                <w:color w:val="000000"/>
                <w:sz w:val="20"/>
                <w:szCs w:val="20"/>
              </w:rPr>
              <w:t>139240</w:t>
            </w:r>
          </w:p>
        </w:tc>
        <w:tc>
          <w:tcPr>
            <w:tcW w:w="1173" w:type="dxa"/>
            <w:tcBorders>
              <w:top w:val="single" w:sz="18" w:space="0" w:color="auto"/>
              <w:left w:val="nil"/>
              <w:bottom w:val="single" w:sz="18" w:space="0" w:color="auto"/>
              <w:right w:val="single" w:sz="4" w:space="0" w:color="auto"/>
            </w:tcBorders>
            <w:shd w:val="clear" w:color="auto" w:fill="FFFF00"/>
            <w:noWrap/>
            <w:vAlign w:val="center"/>
            <w:hideMark/>
          </w:tcPr>
          <w:p w:rsidR="006B3404" w:rsidRPr="008A19EF" w:rsidRDefault="006B3404" w:rsidP="008C1B7E">
            <w:pPr>
              <w:spacing w:line="240" w:lineRule="auto"/>
              <w:contextualSpacing/>
              <w:jc w:val="right"/>
              <w:rPr>
                <w:color w:val="000000"/>
                <w:sz w:val="20"/>
                <w:szCs w:val="20"/>
              </w:rPr>
            </w:pPr>
            <w:r w:rsidRPr="008A19EF">
              <w:rPr>
                <w:color w:val="000000"/>
                <w:sz w:val="20"/>
                <w:szCs w:val="20"/>
              </w:rPr>
              <w:t>149772</w:t>
            </w:r>
          </w:p>
        </w:tc>
        <w:tc>
          <w:tcPr>
            <w:tcW w:w="1173" w:type="dxa"/>
            <w:tcBorders>
              <w:top w:val="single" w:sz="18" w:space="0" w:color="auto"/>
              <w:left w:val="nil"/>
              <w:bottom w:val="single" w:sz="18" w:space="0" w:color="auto"/>
              <w:right w:val="single" w:sz="18" w:space="0" w:color="auto"/>
            </w:tcBorders>
            <w:shd w:val="clear" w:color="auto" w:fill="FFFF00"/>
            <w:noWrap/>
            <w:vAlign w:val="center"/>
            <w:hideMark/>
          </w:tcPr>
          <w:p w:rsidR="006B3404" w:rsidRPr="008A19EF" w:rsidRDefault="006B3404" w:rsidP="008C1B7E">
            <w:pPr>
              <w:spacing w:line="240" w:lineRule="auto"/>
              <w:contextualSpacing/>
              <w:jc w:val="right"/>
              <w:rPr>
                <w:color w:val="000000"/>
                <w:sz w:val="20"/>
                <w:szCs w:val="20"/>
              </w:rPr>
            </w:pPr>
            <w:r w:rsidRPr="008A19EF">
              <w:rPr>
                <w:color w:val="000000"/>
                <w:sz w:val="20"/>
                <w:szCs w:val="20"/>
              </w:rPr>
              <w:t>169960</w:t>
            </w:r>
          </w:p>
        </w:tc>
      </w:tr>
      <w:tr w:rsidR="006B3404" w:rsidRPr="00344365" w:rsidTr="003C3829">
        <w:trPr>
          <w:trHeight w:val="300"/>
          <w:jc w:val="center"/>
        </w:trPr>
        <w:tc>
          <w:tcPr>
            <w:tcW w:w="2940" w:type="dxa"/>
            <w:tcBorders>
              <w:top w:val="single" w:sz="18" w:space="0" w:color="auto"/>
              <w:left w:val="single" w:sz="18" w:space="0" w:color="auto"/>
              <w:bottom w:val="single" w:sz="4" w:space="0" w:color="auto"/>
              <w:right w:val="single" w:sz="4" w:space="0" w:color="auto"/>
            </w:tcBorders>
            <w:shd w:val="clear" w:color="auto" w:fill="auto"/>
            <w:noWrap/>
            <w:vAlign w:val="center"/>
            <w:hideMark/>
          </w:tcPr>
          <w:p w:rsidR="006B3404" w:rsidRPr="008A19EF" w:rsidRDefault="006B3404" w:rsidP="008C1B7E">
            <w:pPr>
              <w:spacing w:line="240" w:lineRule="auto"/>
              <w:contextualSpacing/>
              <w:jc w:val="left"/>
              <w:rPr>
                <w:b/>
                <w:color w:val="000000"/>
                <w:sz w:val="20"/>
                <w:szCs w:val="20"/>
              </w:rPr>
            </w:pPr>
            <w:r w:rsidRPr="008A19EF">
              <w:rPr>
                <w:b/>
                <w:color w:val="000000"/>
                <w:sz w:val="20"/>
                <w:szCs w:val="20"/>
              </w:rPr>
              <w:t>Obchodné spoločnosti</w:t>
            </w:r>
          </w:p>
        </w:tc>
        <w:tc>
          <w:tcPr>
            <w:tcW w:w="1172" w:type="dxa"/>
            <w:tcBorders>
              <w:top w:val="single" w:sz="18" w:space="0" w:color="auto"/>
              <w:left w:val="nil"/>
              <w:bottom w:val="single" w:sz="4" w:space="0" w:color="auto"/>
              <w:right w:val="single" w:sz="4" w:space="0" w:color="auto"/>
            </w:tcBorders>
            <w:shd w:val="clear" w:color="auto" w:fill="auto"/>
            <w:noWrap/>
            <w:vAlign w:val="center"/>
            <w:hideMark/>
          </w:tcPr>
          <w:p w:rsidR="006B3404" w:rsidRPr="008A19EF" w:rsidRDefault="006B3404" w:rsidP="008C1B7E">
            <w:pPr>
              <w:spacing w:line="240" w:lineRule="auto"/>
              <w:contextualSpacing/>
              <w:jc w:val="right"/>
              <w:rPr>
                <w:color w:val="000000"/>
                <w:sz w:val="20"/>
                <w:szCs w:val="20"/>
              </w:rPr>
            </w:pPr>
            <w:r w:rsidRPr="008A19EF">
              <w:rPr>
                <w:color w:val="000000"/>
                <w:sz w:val="20"/>
                <w:szCs w:val="20"/>
              </w:rPr>
              <w:t>67143</w:t>
            </w:r>
          </w:p>
        </w:tc>
        <w:tc>
          <w:tcPr>
            <w:tcW w:w="1173" w:type="dxa"/>
            <w:tcBorders>
              <w:top w:val="single" w:sz="18" w:space="0" w:color="auto"/>
              <w:left w:val="nil"/>
              <w:bottom w:val="single" w:sz="4" w:space="0" w:color="auto"/>
              <w:right w:val="single" w:sz="4" w:space="0" w:color="auto"/>
            </w:tcBorders>
            <w:shd w:val="clear" w:color="auto" w:fill="auto"/>
            <w:noWrap/>
            <w:vAlign w:val="center"/>
            <w:hideMark/>
          </w:tcPr>
          <w:p w:rsidR="006B3404" w:rsidRPr="008A19EF" w:rsidRDefault="006B3404" w:rsidP="008C1B7E">
            <w:pPr>
              <w:spacing w:line="240" w:lineRule="auto"/>
              <w:contextualSpacing/>
              <w:jc w:val="right"/>
              <w:rPr>
                <w:color w:val="000000"/>
                <w:sz w:val="20"/>
                <w:szCs w:val="20"/>
              </w:rPr>
            </w:pPr>
            <w:r w:rsidRPr="008A19EF">
              <w:rPr>
                <w:color w:val="000000"/>
                <w:sz w:val="20"/>
                <w:szCs w:val="20"/>
              </w:rPr>
              <w:t>76632</w:t>
            </w:r>
          </w:p>
        </w:tc>
        <w:tc>
          <w:tcPr>
            <w:tcW w:w="1173" w:type="dxa"/>
            <w:tcBorders>
              <w:top w:val="single" w:sz="18" w:space="0" w:color="auto"/>
              <w:left w:val="nil"/>
              <w:bottom w:val="single" w:sz="4" w:space="0" w:color="auto"/>
              <w:right w:val="single" w:sz="4" w:space="0" w:color="auto"/>
            </w:tcBorders>
            <w:shd w:val="clear" w:color="auto" w:fill="auto"/>
            <w:noWrap/>
            <w:vAlign w:val="center"/>
            <w:hideMark/>
          </w:tcPr>
          <w:p w:rsidR="006B3404" w:rsidRPr="008A19EF" w:rsidRDefault="006B3404" w:rsidP="008C1B7E">
            <w:pPr>
              <w:spacing w:line="240" w:lineRule="auto"/>
              <w:contextualSpacing/>
              <w:jc w:val="right"/>
              <w:rPr>
                <w:color w:val="000000"/>
                <w:sz w:val="20"/>
                <w:szCs w:val="20"/>
              </w:rPr>
            </w:pPr>
            <w:r w:rsidRPr="008A19EF">
              <w:rPr>
                <w:color w:val="000000"/>
                <w:sz w:val="20"/>
                <w:szCs w:val="20"/>
              </w:rPr>
              <w:t>86317</w:t>
            </w:r>
          </w:p>
        </w:tc>
        <w:tc>
          <w:tcPr>
            <w:tcW w:w="1173" w:type="dxa"/>
            <w:tcBorders>
              <w:top w:val="single" w:sz="18" w:space="0" w:color="auto"/>
              <w:left w:val="nil"/>
              <w:bottom w:val="single" w:sz="4" w:space="0" w:color="auto"/>
              <w:right w:val="single" w:sz="4" w:space="0" w:color="auto"/>
            </w:tcBorders>
            <w:shd w:val="clear" w:color="auto" w:fill="auto"/>
            <w:noWrap/>
            <w:vAlign w:val="center"/>
            <w:hideMark/>
          </w:tcPr>
          <w:p w:rsidR="006B3404" w:rsidRPr="008A19EF" w:rsidRDefault="006B3404" w:rsidP="008C1B7E">
            <w:pPr>
              <w:spacing w:line="240" w:lineRule="auto"/>
              <w:contextualSpacing/>
              <w:jc w:val="right"/>
              <w:rPr>
                <w:color w:val="000000"/>
                <w:sz w:val="20"/>
                <w:szCs w:val="20"/>
              </w:rPr>
            </w:pPr>
            <w:r w:rsidRPr="008A19EF">
              <w:rPr>
                <w:color w:val="000000"/>
                <w:sz w:val="20"/>
                <w:szCs w:val="20"/>
              </w:rPr>
              <w:t>94580</w:t>
            </w:r>
          </w:p>
        </w:tc>
        <w:tc>
          <w:tcPr>
            <w:tcW w:w="1173" w:type="dxa"/>
            <w:tcBorders>
              <w:top w:val="single" w:sz="18" w:space="0" w:color="auto"/>
              <w:left w:val="nil"/>
              <w:bottom w:val="single" w:sz="4" w:space="0" w:color="auto"/>
              <w:right w:val="single" w:sz="18" w:space="0" w:color="auto"/>
            </w:tcBorders>
            <w:shd w:val="clear" w:color="auto" w:fill="auto"/>
            <w:noWrap/>
            <w:vAlign w:val="center"/>
            <w:hideMark/>
          </w:tcPr>
          <w:p w:rsidR="006B3404" w:rsidRPr="008A19EF" w:rsidRDefault="006B3404" w:rsidP="008C1B7E">
            <w:pPr>
              <w:spacing w:line="240" w:lineRule="auto"/>
              <w:contextualSpacing/>
              <w:jc w:val="right"/>
              <w:rPr>
                <w:color w:val="000000"/>
                <w:sz w:val="20"/>
                <w:szCs w:val="20"/>
              </w:rPr>
            </w:pPr>
            <w:r w:rsidRPr="008A19EF">
              <w:rPr>
                <w:color w:val="000000"/>
                <w:sz w:val="20"/>
                <w:szCs w:val="20"/>
              </w:rPr>
              <w:t>112151</w:t>
            </w:r>
          </w:p>
        </w:tc>
      </w:tr>
      <w:tr w:rsidR="006B3404" w:rsidRPr="00344365" w:rsidTr="003C3829">
        <w:trPr>
          <w:trHeight w:val="300"/>
          <w:jc w:val="center"/>
        </w:trPr>
        <w:tc>
          <w:tcPr>
            <w:tcW w:w="294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rsidR="006B3404" w:rsidRPr="008A19EF" w:rsidRDefault="006B3404" w:rsidP="008C1B7E">
            <w:pPr>
              <w:spacing w:line="240" w:lineRule="auto"/>
              <w:contextualSpacing/>
              <w:jc w:val="left"/>
              <w:rPr>
                <w:b/>
                <w:color w:val="000000"/>
                <w:sz w:val="20"/>
                <w:szCs w:val="20"/>
              </w:rPr>
            </w:pPr>
            <w:r w:rsidRPr="008A19EF">
              <w:rPr>
                <w:b/>
                <w:color w:val="000000"/>
                <w:sz w:val="20"/>
                <w:szCs w:val="20"/>
              </w:rPr>
              <w:t>Družstvá</w:t>
            </w: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rsidR="006B3404" w:rsidRPr="008A19EF" w:rsidRDefault="006B3404" w:rsidP="008C1B7E">
            <w:pPr>
              <w:spacing w:line="240" w:lineRule="auto"/>
              <w:contextualSpacing/>
              <w:jc w:val="right"/>
              <w:rPr>
                <w:color w:val="000000"/>
                <w:sz w:val="20"/>
                <w:szCs w:val="20"/>
              </w:rPr>
            </w:pPr>
            <w:r w:rsidRPr="008A19EF">
              <w:rPr>
                <w:color w:val="000000"/>
                <w:sz w:val="20"/>
                <w:szCs w:val="20"/>
              </w:rPr>
              <w:t>1564</w:t>
            </w:r>
          </w:p>
        </w:tc>
        <w:tc>
          <w:tcPr>
            <w:tcW w:w="1173" w:type="dxa"/>
            <w:tcBorders>
              <w:top w:val="single" w:sz="4" w:space="0" w:color="auto"/>
              <w:left w:val="nil"/>
              <w:bottom w:val="single" w:sz="4" w:space="0" w:color="auto"/>
              <w:right w:val="single" w:sz="4" w:space="0" w:color="auto"/>
            </w:tcBorders>
            <w:shd w:val="clear" w:color="auto" w:fill="auto"/>
            <w:noWrap/>
            <w:vAlign w:val="center"/>
            <w:hideMark/>
          </w:tcPr>
          <w:p w:rsidR="006B3404" w:rsidRPr="008A19EF" w:rsidRDefault="006B3404" w:rsidP="008C1B7E">
            <w:pPr>
              <w:spacing w:line="240" w:lineRule="auto"/>
              <w:contextualSpacing/>
              <w:jc w:val="right"/>
              <w:rPr>
                <w:color w:val="000000"/>
                <w:sz w:val="20"/>
                <w:szCs w:val="20"/>
              </w:rPr>
            </w:pPr>
            <w:r w:rsidRPr="008A19EF">
              <w:rPr>
                <w:color w:val="000000"/>
                <w:sz w:val="20"/>
                <w:szCs w:val="20"/>
              </w:rPr>
              <w:t>1542</w:t>
            </w:r>
          </w:p>
        </w:tc>
        <w:tc>
          <w:tcPr>
            <w:tcW w:w="1173" w:type="dxa"/>
            <w:tcBorders>
              <w:top w:val="single" w:sz="4" w:space="0" w:color="auto"/>
              <w:left w:val="nil"/>
              <w:bottom w:val="single" w:sz="4" w:space="0" w:color="auto"/>
              <w:right w:val="single" w:sz="4" w:space="0" w:color="auto"/>
            </w:tcBorders>
            <w:shd w:val="clear" w:color="auto" w:fill="auto"/>
            <w:noWrap/>
            <w:vAlign w:val="center"/>
            <w:hideMark/>
          </w:tcPr>
          <w:p w:rsidR="006B3404" w:rsidRPr="008A19EF" w:rsidRDefault="006B3404" w:rsidP="008C1B7E">
            <w:pPr>
              <w:spacing w:line="240" w:lineRule="auto"/>
              <w:contextualSpacing/>
              <w:jc w:val="right"/>
              <w:rPr>
                <w:color w:val="000000"/>
                <w:sz w:val="20"/>
                <w:szCs w:val="20"/>
              </w:rPr>
            </w:pPr>
            <w:r w:rsidRPr="008A19EF">
              <w:rPr>
                <w:color w:val="000000"/>
                <w:sz w:val="20"/>
                <w:szCs w:val="20"/>
              </w:rPr>
              <w:t>1501</w:t>
            </w:r>
          </w:p>
        </w:tc>
        <w:tc>
          <w:tcPr>
            <w:tcW w:w="1173" w:type="dxa"/>
            <w:tcBorders>
              <w:top w:val="single" w:sz="4" w:space="0" w:color="auto"/>
              <w:left w:val="nil"/>
              <w:bottom w:val="single" w:sz="4" w:space="0" w:color="auto"/>
              <w:right w:val="single" w:sz="4" w:space="0" w:color="auto"/>
            </w:tcBorders>
            <w:shd w:val="clear" w:color="auto" w:fill="auto"/>
            <w:noWrap/>
            <w:vAlign w:val="center"/>
            <w:hideMark/>
          </w:tcPr>
          <w:p w:rsidR="006B3404" w:rsidRPr="008A19EF" w:rsidRDefault="006B3404" w:rsidP="008C1B7E">
            <w:pPr>
              <w:spacing w:line="240" w:lineRule="auto"/>
              <w:contextualSpacing/>
              <w:jc w:val="right"/>
              <w:rPr>
                <w:color w:val="000000"/>
                <w:sz w:val="20"/>
                <w:szCs w:val="20"/>
              </w:rPr>
            </w:pPr>
            <w:r w:rsidRPr="008A19EF">
              <w:rPr>
                <w:color w:val="000000"/>
                <w:sz w:val="20"/>
                <w:szCs w:val="20"/>
              </w:rPr>
              <w:t>1492</w:t>
            </w:r>
          </w:p>
        </w:tc>
        <w:tc>
          <w:tcPr>
            <w:tcW w:w="1173" w:type="dxa"/>
            <w:tcBorders>
              <w:top w:val="single" w:sz="4" w:space="0" w:color="auto"/>
              <w:left w:val="nil"/>
              <w:bottom w:val="single" w:sz="4" w:space="0" w:color="auto"/>
              <w:right w:val="single" w:sz="18" w:space="0" w:color="auto"/>
            </w:tcBorders>
            <w:shd w:val="clear" w:color="auto" w:fill="auto"/>
            <w:noWrap/>
            <w:vAlign w:val="center"/>
            <w:hideMark/>
          </w:tcPr>
          <w:p w:rsidR="006B3404" w:rsidRPr="008A19EF" w:rsidRDefault="006B3404" w:rsidP="008C1B7E">
            <w:pPr>
              <w:spacing w:line="240" w:lineRule="auto"/>
              <w:contextualSpacing/>
              <w:jc w:val="right"/>
              <w:rPr>
                <w:color w:val="000000"/>
                <w:sz w:val="20"/>
                <w:szCs w:val="20"/>
              </w:rPr>
            </w:pPr>
            <w:r w:rsidRPr="008A19EF">
              <w:rPr>
                <w:color w:val="000000"/>
                <w:sz w:val="20"/>
                <w:szCs w:val="20"/>
              </w:rPr>
              <w:t>1535</w:t>
            </w:r>
          </w:p>
        </w:tc>
      </w:tr>
      <w:tr w:rsidR="006B3404" w:rsidRPr="00344365" w:rsidTr="003C3829">
        <w:trPr>
          <w:trHeight w:val="300"/>
          <w:jc w:val="center"/>
        </w:trPr>
        <w:tc>
          <w:tcPr>
            <w:tcW w:w="294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rsidR="006B3404" w:rsidRPr="008A19EF" w:rsidRDefault="006B3404" w:rsidP="008C1B7E">
            <w:pPr>
              <w:spacing w:line="240" w:lineRule="auto"/>
              <w:contextualSpacing/>
              <w:jc w:val="left"/>
              <w:rPr>
                <w:b/>
                <w:color w:val="000000"/>
                <w:sz w:val="20"/>
                <w:szCs w:val="20"/>
              </w:rPr>
            </w:pPr>
            <w:r w:rsidRPr="008A19EF">
              <w:rPr>
                <w:b/>
                <w:color w:val="000000"/>
                <w:sz w:val="20"/>
                <w:szCs w:val="20"/>
              </w:rPr>
              <w:t>Štátne podniky</w:t>
            </w: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rsidR="006B3404" w:rsidRPr="008A19EF" w:rsidRDefault="006B3404" w:rsidP="008C1B7E">
            <w:pPr>
              <w:spacing w:line="240" w:lineRule="auto"/>
              <w:contextualSpacing/>
              <w:jc w:val="right"/>
              <w:rPr>
                <w:color w:val="000000"/>
                <w:sz w:val="20"/>
                <w:szCs w:val="20"/>
              </w:rPr>
            </w:pPr>
            <w:r w:rsidRPr="008A19EF">
              <w:rPr>
                <w:color w:val="000000"/>
                <w:sz w:val="20"/>
                <w:szCs w:val="20"/>
              </w:rPr>
              <w:t>35</w:t>
            </w:r>
          </w:p>
        </w:tc>
        <w:tc>
          <w:tcPr>
            <w:tcW w:w="1173" w:type="dxa"/>
            <w:tcBorders>
              <w:top w:val="single" w:sz="4" w:space="0" w:color="auto"/>
              <w:left w:val="nil"/>
              <w:bottom w:val="single" w:sz="4" w:space="0" w:color="auto"/>
              <w:right w:val="single" w:sz="4" w:space="0" w:color="auto"/>
            </w:tcBorders>
            <w:shd w:val="clear" w:color="auto" w:fill="auto"/>
            <w:noWrap/>
            <w:vAlign w:val="center"/>
            <w:hideMark/>
          </w:tcPr>
          <w:p w:rsidR="006B3404" w:rsidRPr="008A19EF" w:rsidRDefault="006B3404" w:rsidP="008C1B7E">
            <w:pPr>
              <w:spacing w:line="240" w:lineRule="auto"/>
              <w:contextualSpacing/>
              <w:jc w:val="right"/>
              <w:rPr>
                <w:color w:val="000000"/>
                <w:sz w:val="20"/>
                <w:szCs w:val="20"/>
              </w:rPr>
            </w:pPr>
            <w:r w:rsidRPr="008A19EF">
              <w:rPr>
                <w:color w:val="000000"/>
                <w:sz w:val="20"/>
                <w:szCs w:val="20"/>
              </w:rPr>
              <w:t>30</w:t>
            </w:r>
          </w:p>
        </w:tc>
        <w:tc>
          <w:tcPr>
            <w:tcW w:w="1173" w:type="dxa"/>
            <w:tcBorders>
              <w:top w:val="single" w:sz="4" w:space="0" w:color="auto"/>
              <w:left w:val="nil"/>
              <w:bottom w:val="single" w:sz="4" w:space="0" w:color="auto"/>
              <w:right w:val="single" w:sz="4" w:space="0" w:color="auto"/>
            </w:tcBorders>
            <w:shd w:val="clear" w:color="auto" w:fill="auto"/>
            <w:noWrap/>
            <w:vAlign w:val="center"/>
            <w:hideMark/>
          </w:tcPr>
          <w:p w:rsidR="006B3404" w:rsidRPr="008A19EF" w:rsidRDefault="006B3404" w:rsidP="008C1B7E">
            <w:pPr>
              <w:spacing w:line="240" w:lineRule="auto"/>
              <w:contextualSpacing/>
              <w:jc w:val="right"/>
              <w:rPr>
                <w:color w:val="000000"/>
                <w:sz w:val="20"/>
                <w:szCs w:val="20"/>
              </w:rPr>
            </w:pPr>
            <w:r w:rsidRPr="008A19EF">
              <w:rPr>
                <w:color w:val="000000"/>
                <w:sz w:val="20"/>
                <w:szCs w:val="20"/>
              </w:rPr>
              <w:t>22</w:t>
            </w:r>
          </w:p>
        </w:tc>
        <w:tc>
          <w:tcPr>
            <w:tcW w:w="1173" w:type="dxa"/>
            <w:tcBorders>
              <w:top w:val="single" w:sz="4" w:space="0" w:color="auto"/>
              <w:left w:val="nil"/>
              <w:bottom w:val="single" w:sz="4" w:space="0" w:color="auto"/>
              <w:right w:val="single" w:sz="4" w:space="0" w:color="auto"/>
            </w:tcBorders>
            <w:shd w:val="clear" w:color="auto" w:fill="auto"/>
            <w:noWrap/>
            <w:vAlign w:val="center"/>
            <w:hideMark/>
          </w:tcPr>
          <w:p w:rsidR="006B3404" w:rsidRPr="008A19EF" w:rsidRDefault="006B3404" w:rsidP="008C1B7E">
            <w:pPr>
              <w:spacing w:line="240" w:lineRule="auto"/>
              <w:contextualSpacing/>
              <w:jc w:val="right"/>
              <w:rPr>
                <w:color w:val="000000"/>
                <w:sz w:val="20"/>
                <w:szCs w:val="20"/>
              </w:rPr>
            </w:pPr>
            <w:r w:rsidRPr="008A19EF">
              <w:rPr>
                <w:color w:val="000000"/>
                <w:sz w:val="20"/>
                <w:szCs w:val="20"/>
              </w:rPr>
              <w:t>21</w:t>
            </w:r>
          </w:p>
        </w:tc>
        <w:tc>
          <w:tcPr>
            <w:tcW w:w="1173" w:type="dxa"/>
            <w:tcBorders>
              <w:top w:val="single" w:sz="4" w:space="0" w:color="auto"/>
              <w:left w:val="nil"/>
              <w:bottom w:val="single" w:sz="4" w:space="0" w:color="auto"/>
              <w:right w:val="single" w:sz="18" w:space="0" w:color="auto"/>
            </w:tcBorders>
            <w:shd w:val="clear" w:color="auto" w:fill="auto"/>
            <w:noWrap/>
            <w:vAlign w:val="center"/>
            <w:hideMark/>
          </w:tcPr>
          <w:p w:rsidR="006B3404" w:rsidRPr="008A19EF" w:rsidRDefault="006B3404" w:rsidP="008C1B7E">
            <w:pPr>
              <w:spacing w:line="240" w:lineRule="auto"/>
              <w:contextualSpacing/>
              <w:jc w:val="right"/>
              <w:rPr>
                <w:color w:val="000000"/>
                <w:sz w:val="20"/>
                <w:szCs w:val="20"/>
              </w:rPr>
            </w:pPr>
            <w:r w:rsidRPr="008A19EF">
              <w:rPr>
                <w:color w:val="000000"/>
                <w:sz w:val="20"/>
                <w:szCs w:val="20"/>
              </w:rPr>
              <w:t>23</w:t>
            </w:r>
          </w:p>
        </w:tc>
      </w:tr>
      <w:tr w:rsidR="006B3404" w:rsidRPr="00344365" w:rsidTr="003C3829">
        <w:trPr>
          <w:trHeight w:val="300"/>
          <w:jc w:val="center"/>
        </w:trPr>
        <w:tc>
          <w:tcPr>
            <w:tcW w:w="294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rsidR="006B3404" w:rsidRPr="008A19EF" w:rsidRDefault="006B3404" w:rsidP="008C1B7E">
            <w:pPr>
              <w:spacing w:line="240" w:lineRule="auto"/>
              <w:contextualSpacing/>
              <w:jc w:val="left"/>
              <w:rPr>
                <w:b/>
                <w:color w:val="000000"/>
                <w:sz w:val="20"/>
                <w:szCs w:val="20"/>
              </w:rPr>
            </w:pPr>
            <w:r w:rsidRPr="008A19EF">
              <w:rPr>
                <w:b/>
                <w:color w:val="000000"/>
                <w:sz w:val="20"/>
                <w:szCs w:val="20"/>
              </w:rPr>
              <w:t>Rozpočtové organizácie</w:t>
            </w: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rsidR="006B3404" w:rsidRPr="008A19EF" w:rsidRDefault="006B3404" w:rsidP="008C1B7E">
            <w:pPr>
              <w:spacing w:line="240" w:lineRule="auto"/>
              <w:contextualSpacing/>
              <w:jc w:val="right"/>
              <w:rPr>
                <w:color w:val="000000"/>
                <w:sz w:val="20"/>
                <w:szCs w:val="20"/>
              </w:rPr>
            </w:pPr>
            <w:r w:rsidRPr="008A19EF">
              <w:rPr>
                <w:color w:val="000000"/>
                <w:sz w:val="20"/>
                <w:szCs w:val="20"/>
              </w:rPr>
              <w:t>6612</w:t>
            </w:r>
          </w:p>
        </w:tc>
        <w:tc>
          <w:tcPr>
            <w:tcW w:w="1173" w:type="dxa"/>
            <w:tcBorders>
              <w:top w:val="single" w:sz="4" w:space="0" w:color="auto"/>
              <w:left w:val="nil"/>
              <w:bottom w:val="single" w:sz="4" w:space="0" w:color="auto"/>
              <w:right w:val="single" w:sz="4" w:space="0" w:color="auto"/>
            </w:tcBorders>
            <w:shd w:val="clear" w:color="auto" w:fill="auto"/>
            <w:noWrap/>
            <w:vAlign w:val="center"/>
            <w:hideMark/>
          </w:tcPr>
          <w:p w:rsidR="006B3404" w:rsidRPr="008A19EF" w:rsidRDefault="006B3404" w:rsidP="008C1B7E">
            <w:pPr>
              <w:spacing w:line="240" w:lineRule="auto"/>
              <w:jc w:val="right"/>
              <w:rPr>
                <w:color w:val="000000"/>
                <w:sz w:val="20"/>
                <w:szCs w:val="20"/>
              </w:rPr>
            </w:pPr>
            <w:r w:rsidRPr="008A19EF">
              <w:rPr>
                <w:color w:val="000000"/>
                <w:sz w:val="20"/>
                <w:szCs w:val="20"/>
              </w:rPr>
              <w:t>6654</w:t>
            </w:r>
          </w:p>
        </w:tc>
        <w:tc>
          <w:tcPr>
            <w:tcW w:w="1173" w:type="dxa"/>
            <w:tcBorders>
              <w:top w:val="single" w:sz="4" w:space="0" w:color="auto"/>
              <w:left w:val="nil"/>
              <w:bottom w:val="single" w:sz="4" w:space="0" w:color="auto"/>
              <w:right w:val="single" w:sz="4" w:space="0" w:color="auto"/>
            </w:tcBorders>
            <w:shd w:val="clear" w:color="auto" w:fill="auto"/>
            <w:noWrap/>
            <w:vAlign w:val="center"/>
            <w:hideMark/>
          </w:tcPr>
          <w:p w:rsidR="006B3404" w:rsidRPr="008A19EF" w:rsidRDefault="006B3404" w:rsidP="008C1B7E">
            <w:pPr>
              <w:spacing w:line="240" w:lineRule="auto"/>
              <w:contextualSpacing/>
              <w:jc w:val="right"/>
              <w:rPr>
                <w:color w:val="000000"/>
                <w:sz w:val="20"/>
                <w:szCs w:val="20"/>
              </w:rPr>
            </w:pPr>
            <w:r w:rsidRPr="008A19EF">
              <w:rPr>
                <w:color w:val="000000"/>
                <w:sz w:val="20"/>
                <w:szCs w:val="20"/>
              </w:rPr>
              <w:t>6649</w:t>
            </w:r>
          </w:p>
        </w:tc>
        <w:tc>
          <w:tcPr>
            <w:tcW w:w="1173" w:type="dxa"/>
            <w:tcBorders>
              <w:top w:val="single" w:sz="4" w:space="0" w:color="auto"/>
              <w:left w:val="nil"/>
              <w:bottom w:val="single" w:sz="4" w:space="0" w:color="auto"/>
              <w:right w:val="single" w:sz="4" w:space="0" w:color="auto"/>
            </w:tcBorders>
            <w:shd w:val="clear" w:color="auto" w:fill="auto"/>
            <w:noWrap/>
            <w:vAlign w:val="center"/>
            <w:hideMark/>
          </w:tcPr>
          <w:p w:rsidR="006B3404" w:rsidRPr="008A19EF" w:rsidRDefault="006B3404" w:rsidP="008C1B7E">
            <w:pPr>
              <w:spacing w:line="240" w:lineRule="auto"/>
              <w:contextualSpacing/>
              <w:jc w:val="right"/>
              <w:rPr>
                <w:color w:val="000000"/>
                <w:sz w:val="20"/>
                <w:szCs w:val="20"/>
              </w:rPr>
            </w:pPr>
            <w:r w:rsidRPr="008A19EF">
              <w:rPr>
                <w:color w:val="000000"/>
                <w:sz w:val="20"/>
                <w:szCs w:val="20"/>
              </w:rPr>
              <w:t>6643</w:t>
            </w:r>
          </w:p>
        </w:tc>
        <w:tc>
          <w:tcPr>
            <w:tcW w:w="1173" w:type="dxa"/>
            <w:tcBorders>
              <w:top w:val="single" w:sz="4" w:space="0" w:color="auto"/>
              <w:left w:val="nil"/>
              <w:bottom w:val="single" w:sz="4" w:space="0" w:color="auto"/>
              <w:right w:val="single" w:sz="18" w:space="0" w:color="auto"/>
            </w:tcBorders>
            <w:shd w:val="clear" w:color="auto" w:fill="auto"/>
            <w:noWrap/>
            <w:vAlign w:val="center"/>
            <w:hideMark/>
          </w:tcPr>
          <w:p w:rsidR="006B3404" w:rsidRPr="008A19EF" w:rsidRDefault="006B3404" w:rsidP="008C1B7E">
            <w:pPr>
              <w:spacing w:line="240" w:lineRule="auto"/>
              <w:jc w:val="right"/>
              <w:rPr>
                <w:color w:val="000000"/>
                <w:sz w:val="20"/>
                <w:szCs w:val="20"/>
              </w:rPr>
            </w:pPr>
            <w:r w:rsidRPr="008A19EF">
              <w:rPr>
                <w:color w:val="000000"/>
                <w:sz w:val="20"/>
                <w:szCs w:val="20"/>
              </w:rPr>
              <w:t>6592</w:t>
            </w:r>
          </w:p>
        </w:tc>
      </w:tr>
      <w:tr w:rsidR="006B3404" w:rsidRPr="00344365" w:rsidTr="003C3829">
        <w:trPr>
          <w:trHeight w:val="300"/>
          <w:jc w:val="center"/>
        </w:trPr>
        <w:tc>
          <w:tcPr>
            <w:tcW w:w="294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rsidR="006B3404" w:rsidRPr="008A19EF" w:rsidRDefault="006B3404" w:rsidP="008C1B7E">
            <w:pPr>
              <w:spacing w:line="240" w:lineRule="auto"/>
              <w:contextualSpacing/>
              <w:jc w:val="left"/>
              <w:rPr>
                <w:b/>
                <w:color w:val="000000"/>
                <w:sz w:val="20"/>
                <w:szCs w:val="20"/>
              </w:rPr>
            </w:pPr>
            <w:r w:rsidRPr="008A19EF">
              <w:rPr>
                <w:b/>
                <w:color w:val="000000"/>
                <w:sz w:val="20"/>
                <w:szCs w:val="20"/>
              </w:rPr>
              <w:t>Príspevkové organizácie</w:t>
            </w: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rsidR="006B3404" w:rsidRPr="008A19EF" w:rsidRDefault="006B3404" w:rsidP="008C1B7E">
            <w:pPr>
              <w:spacing w:line="240" w:lineRule="auto"/>
              <w:contextualSpacing/>
              <w:jc w:val="right"/>
              <w:rPr>
                <w:color w:val="000000"/>
                <w:sz w:val="20"/>
                <w:szCs w:val="20"/>
              </w:rPr>
            </w:pPr>
            <w:r w:rsidRPr="008A19EF">
              <w:rPr>
                <w:color w:val="000000"/>
                <w:sz w:val="20"/>
                <w:szCs w:val="20"/>
              </w:rPr>
              <w:t>962</w:t>
            </w:r>
          </w:p>
        </w:tc>
        <w:tc>
          <w:tcPr>
            <w:tcW w:w="1173" w:type="dxa"/>
            <w:tcBorders>
              <w:top w:val="single" w:sz="4" w:space="0" w:color="auto"/>
              <w:left w:val="nil"/>
              <w:bottom w:val="single" w:sz="4" w:space="0" w:color="auto"/>
              <w:right w:val="single" w:sz="4" w:space="0" w:color="auto"/>
            </w:tcBorders>
            <w:shd w:val="clear" w:color="auto" w:fill="auto"/>
            <w:noWrap/>
            <w:vAlign w:val="center"/>
            <w:hideMark/>
          </w:tcPr>
          <w:p w:rsidR="006B3404" w:rsidRPr="008A19EF" w:rsidRDefault="006B3404" w:rsidP="008C1B7E">
            <w:pPr>
              <w:spacing w:line="240" w:lineRule="auto"/>
              <w:jc w:val="right"/>
              <w:rPr>
                <w:color w:val="000000"/>
                <w:sz w:val="20"/>
                <w:szCs w:val="20"/>
              </w:rPr>
            </w:pPr>
            <w:r w:rsidRPr="008A19EF">
              <w:rPr>
                <w:color w:val="000000"/>
                <w:sz w:val="20"/>
                <w:szCs w:val="20"/>
              </w:rPr>
              <w:t>895</w:t>
            </w:r>
          </w:p>
        </w:tc>
        <w:tc>
          <w:tcPr>
            <w:tcW w:w="1173" w:type="dxa"/>
            <w:tcBorders>
              <w:top w:val="single" w:sz="4" w:space="0" w:color="auto"/>
              <w:left w:val="nil"/>
              <w:bottom w:val="single" w:sz="4" w:space="0" w:color="auto"/>
              <w:right w:val="single" w:sz="4" w:space="0" w:color="auto"/>
            </w:tcBorders>
            <w:shd w:val="clear" w:color="auto" w:fill="auto"/>
            <w:noWrap/>
            <w:vAlign w:val="center"/>
            <w:hideMark/>
          </w:tcPr>
          <w:p w:rsidR="006B3404" w:rsidRPr="008A19EF" w:rsidRDefault="006B3404" w:rsidP="008C1B7E">
            <w:pPr>
              <w:spacing w:line="240" w:lineRule="auto"/>
              <w:contextualSpacing/>
              <w:jc w:val="right"/>
              <w:rPr>
                <w:color w:val="000000"/>
                <w:sz w:val="20"/>
                <w:szCs w:val="20"/>
              </w:rPr>
            </w:pPr>
            <w:r w:rsidRPr="008A19EF">
              <w:rPr>
                <w:color w:val="000000"/>
                <w:sz w:val="20"/>
                <w:szCs w:val="20"/>
              </w:rPr>
              <w:t>816</w:t>
            </w:r>
          </w:p>
        </w:tc>
        <w:tc>
          <w:tcPr>
            <w:tcW w:w="1173" w:type="dxa"/>
            <w:tcBorders>
              <w:top w:val="single" w:sz="4" w:space="0" w:color="auto"/>
              <w:left w:val="nil"/>
              <w:bottom w:val="single" w:sz="4" w:space="0" w:color="auto"/>
              <w:right w:val="single" w:sz="4" w:space="0" w:color="auto"/>
            </w:tcBorders>
            <w:shd w:val="clear" w:color="auto" w:fill="auto"/>
            <w:noWrap/>
            <w:vAlign w:val="center"/>
            <w:hideMark/>
          </w:tcPr>
          <w:p w:rsidR="006B3404" w:rsidRPr="008A19EF" w:rsidRDefault="006B3404" w:rsidP="008C1B7E">
            <w:pPr>
              <w:spacing w:line="240" w:lineRule="auto"/>
              <w:contextualSpacing/>
              <w:jc w:val="right"/>
              <w:rPr>
                <w:color w:val="000000"/>
                <w:sz w:val="20"/>
                <w:szCs w:val="20"/>
              </w:rPr>
            </w:pPr>
            <w:r w:rsidRPr="008A19EF">
              <w:rPr>
                <w:color w:val="000000"/>
                <w:sz w:val="20"/>
                <w:szCs w:val="20"/>
              </w:rPr>
              <w:t>792</w:t>
            </w:r>
          </w:p>
        </w:tc>
        <w:tc>
          <w:tcPr>
            <w:tcW w:w="1173" w:type="dxa"/>
            <w:tcBorders>
              <w:top w:val="single" w:sz="4" w:space="0" w:color="auto"/>
              <w:left w:val="nil"/>
              <w:bottom w:val="single" w:sz="4" w:space="0" w:color="auto"/>
              <w:right w:val="single" w:sz="18" w:space="0" w:color="auto"/>
            </w:tcBorders>
            <w:shd w:val="clear" w:color="auto" w:fill="auto"/>
            <w:noWrap/>
            <w:vAlign w:val="center"/>
            <w:hideMark/>
          </w:tcPr>
          <w:p w:rsidR="006B3404" w:rsidRPr="008A19EF" w:rsidRDefault="006B3404" w:rsidP="008C1B7E">
            <w:pPr>
              <w:spacing w:line="240" w:lineRule="auto"/>
              <w:jc w:val="right"/>
              <w:rPr>
                <w:color w:val="000000"/>
                <w:sz w:val="20"/>
                <w:szCs w:val="20"/>
              </w:rPr>
            </w:pPr>
            <w:r w:rsidRPr="008A19EF">
              <w:rPr>
                <w:color w:val="000000"/>
                <w:sz w:val="20"/>
                <w:szCs w:val="20"/>
              </w:rPr>
              <w:t>751</w:t>
            </w:r>
          </w:p>
        </w:tc>
      </w:tr>
      <w:tr w:rsidR="006B3404" w:rsidRPr="00344365" w:rsidTr="003C3829">
        <w:trPr>
          <w:trHeight w:val="300"/>
          <w:jc w:val="center"/>
        </w:trPr>
        <w:tc>
          <w:tcPr>
            <w:tcW w:w="2940" w:type="dxa"/>
            <w:tcBorders>
              <w:top w:val="single" w:sz="4" w:space="0" w:color="auto"/>
              <w:left w:val="single" w:sz="18" w:space="0" w:color="auto"/>
              <w:bottom w:val="single" w:sz="18" w:space="0" w:color="auto"/>
              <w:right w:val="single" w:sz="4" w:space="0" w:color="auto"/>
            </w:tcBorders>
            <w:shd w:val="clear" w:color="auto" w:fill="auto"/>
            <w:noWrap/>
            <w:vAlign w:val="center"/>
            <w:hideMark/>
          </w:tcPr>
          <w:p w:rsidR="006B3404" w:rsidRPr="008A19EF" w:rsidRDefault="006B3404" w:rsidP="008C1B7E">
            <w:pPr>
              <w:spacing w:line="240" w:lineRule="auto"/>
              <w:contextualSpacing/>
              <w:jc w:val="left"/>
              <w:rPr>
                <w:b/>
                <w:color w:val="000000"/>
                <w:sz w:val="20"/>
                <w:szCs w:val="20"/>
              </w:rPr>
            </w:pPr>
            <w:r w:rsidRPr="008A19EF">
              <w:rPr>
                <w:b/>
                <w:color w:val="000000"/>
                <w:sz w:val="20"/>
                <w:szCs w:val="20"/>
              </w:rPr>
              <w:t>Ostatné organizácie</w:t>
            </w:r>
          </w:p>
        </w:tc>
        <w:tc>
          <w:tcPr>
            <w:tcW w:w="1172" w:type="dxa"/>
            <w:tcBorders>
              <w:top w:val="single" w:sz="4" w:space="0" w:color="auto"/>
              <w:left w:val="nil"/>
              <w:bottom w:val="single" w:sz="18" w:space="0" w:color="auto"/>
              <w:right w:val="single" w:sz="4" w:space="0" w:color="auto"/>
            </w:tcBorders>
            <w:shd w:val="clear" w:color="auto" w:fill="auto"/>
            <w:noWrap/>
            <w:vAlign w:val="center"/>
            <w:hideMark/>
          </w:tcPr>
          <w:p w:rsidR="006B3404" w:rsidRPr="008A19EF" w:rsidRDefault="006B3404" w:rsidP="008C1B7E">
            <w:pPr>
              <w:spacing w:line="240" w:lineRule="auto"/>
              <w:contextualSpacing/>
              <w:jc w:val="right"/>
              <w:rPr>
                <w:color w:val="000000"/>
                <w:sz w:val="20"/>
                <w:szCs w:val="20"/>
              </w:rPr>
            </w:pPr>
            <w:r w:rsidRPr="008A19EF">
              <w:rPr>
                <w:color w:val="000000"/>
                <w:sz w:val="20"/>
                <w:szCs w:val="20"/>
              </w:rPr>
              <w:t>37969</w:t>
            </w:r>
          </w:p>
        </w:tc>
        <w:tc>
          <w:tcPr>
            <w:tcW w:w="1173" w:type="dxa"/>
            <w:tcBorders>
              <w:top w:val="single" w:sz="4" w:space="0" w:color="auto"/>
              <w:left w:val="nil"/>
              <w:bottom w:val="single" w:sz="18" w:space="0" w:color="auto"/>
              <w:right w:val="single" w:sz="4" w:space="0" w:color="auto"/>
            </w:tcBorders>
            <w:shd w:val="clear" w:color="auto" w:fill="auto"/>
            <w:noWrap/>
            <w:vAlign w:val="center"/>
            <w:hideMark/>
          </w:tcPr>
          <w:p w:rsidR="006B3404" w:rsidRPr="008A19EF" w:rsidRDefault="006B3404" w:rsidP="008C1B7E">
            <w:pPr>
              <w:spacing w:line="240" w:lineRule="auto"/>
              <w:jc w:val="right"/>
              <w:rPr>
                <w:color w:val="000000"/>
                <w:sz w:val="20"/>
                <w:szCs w:val="20"/>
              </w:rPr>
            </w:pPr>
            <w:r w:rsidRPr="008A19EF">
              <w:rPr>
                <w:color w:val="000000"/>
                <w:sz w:val="20"/>
                <w:szCs w:val="20"/>
              </w:rPr>
              <w:t>41024</w:t>
            </w:r>
          </w:p>
        </w:tc>
        <w:tc>
          <w:tcPr>
            <w:tcW w:w="1173" w:type="dxa"/>
            <w:tcBorders>
              <w:top w:val="single" w:sz="4" w:space="0" w:color="auto"/>
              <w:left w:val="nil"/>
              <w:bottom w:val="single" w:sz="18" w:space="0" w:color="auto"/>
              <w:right w:val="single" w:sz="4" w:space="0" w:color="auto"/>
            </w:tcBorders>
            <w:shd w:val="clear" w:color="auto" w:fill="auto"/>
            <w:noWrap/>
            <w:vAlign w:val="center"/>
            <w:hideMark/>
          </w:tcPr>
          <w:p w:rsidR="006B3404" w:rsidRPr="008A19EF" w:rsidRDefault="006B3404" w:rsidP="008C1B7E">
            <w:pPr>
              <w:spacing w:line="240" w:lineRule="auto"/>
              <w:contextualSpacing/>
              <w:jc w:val="right"/>
              <w:rPr>
                <w:color w:val="000000"/>
                <w:sz w:val="20"/>
                <w:szCs w:val="20"/>
              </w:rPr>
            </w:pPr>
            <w:r w:rsidRPr="008A19EF">
              <w:rPr>
                <w:color w:val="000000"/>
                <w:sz w:val="20"/>
                <w:szCs w:val="20"/>
              </w:rPr>
              <w:t>43935</w:t>
            </w:r>
          </w:p>
        </w:tc>
        <w:tc>
          <w:tcPr>
            <w:tcW w:w="1173" w:type="dxa"/>
            <w:tcBorders>
              <w:top w:val="single" w:sz="4" w:space="0" w:color="auto"/>
              <w:left w:val="nil"/>
              <w:bottom w:val="single" w:sz="18" w:space="0" w:color="auto"/>
              <w:right w:val="single" w:sz="4" w:space="0" w:color="auto"/>
            </w:tcBorders>
            <w:shd w:val="clear" w:color="auto" w:fill="auto"/>
            <w:noWrap/>
            <w:vAlign w:val="center"/>
            <w:hideMark/>
          </w:tcPr>
          <w:p w:rsidR="006B3404" w:rsidRPr="008A19EF" w:rsidRDefault="006B3404" w:rsidP="008C1B7E">
            <w:pPr>
              <w:spacing w:line="240" w:lineRule="auto"/>
              <w:contextualSpacing/>
              <w:jc w:val="right"/>
              <w:rPr>
                <w:color w:val="000000"/>
                <w:sz w:val="20"/>
                <w:szCs w:val="20"/>
              </w:rPr>
            </w:pPr>
            <w:r w:rsidRPr="008A19EF">
              <w:rPr>
                <w:color w:val="000000"/>
                <w:sz w:val="20"/>
                <w:szCs w:val="20"/>
              </w:rPr>
              <w:t>46244</w:t>
            </w:r>
          </w:p>
        </w:tc>
        <w:tc>
          <w:tcPr>
            <w:tcW w:w="1173" w:type="dxa"/>
            <w:tcBorders>
              <w:top w:val="single" w:sz="4" w:space="0" w:color="auto"/>
              <w:left w:val="nil"/>
              <w:bottom w:val="single" w:sz="18" w:space="0" w:color="auto"/>
              <w:right w:val="single" w:sz="18" w:space="0" w:color="auto"/>
            </w:tcBorders>
            <w:shd w:val="clear" w:color="auto" w:fill="auto"/>
            <w:noWrap/>
            <w:vAlign w:val="center"/>
            <w:hideMark/>
          </w:tcPr>
          <w:p w:rsidR="006B3404" w:rsidRPr="008A19EF" w:rsidRDefault="006B3404" w:rsidP="008C1B7E">
            <w:pPr>
              <w:spacing w:line="240" w:lineRule="auto"/>
              <w:jc w:val="right"/>
              <w:rPr>
                <w:color w:val="000000"/>
                <w:sz w:val="20"/>
                <w:szCs w:val="20"/>
              </w:rPr>
            </w:pPr>
            <w:r w:rsidRPr="008A19EF">
              <w:rPr>
                <w:color w:val="000000"/>
                <w:sz w:val="20"/>
                <w:szCs w:val="20"/>
              </w:rPr>
              <w:t>48908</w:t>
            </w:r>
          </w:p>
        </w:tc>
      </w:tr>
      <w:tr w:rsidR="006B3404" w:rsidRPr="00344365" w:rsidTr="003C3829">
        <w:trPr>
          <w:trHeight w:val="300"/>
          <w:jc w:val="center"/>
        </w:trPr>
        <w:tc>
          <w:tcPr>
            <w:tcW w:w="2940" w:type="dxa"/>
            <w:tcBorders>
              <w:top w:val="single" w:sz="4" w:space="0" w:color="auto"/>
              <w:left w:val="single" w:sz="18" w:space="0" w:color="auto"/>
              <w:bottom w:val="single" w:sz="18" w:space="0" w:color="auto"/>
              <w:right w:val="single" w:sz="4" w:space="0" w:color="auto"/>
            </w:tcBorders>
            <w:shd w:val="clear" w:color="auto" w:fill="FFFF00"/>
            <w:noWrap/>
            <w:vAlign w:val="center"/>
            <w:hideMark/>
          </w:tcPr>
          <w:p w:rsidR="006B3404" w:rsidRPr="008A19EF" w:rsidRDefault="006B3404" w:rsidP="008C1B7E">
            <w:pPr>
              <w:spacing w:line="240" w:lineRule="auto"/>
              <w:contextualSpacing/>
              <w:jc w:val="left"/>
              <w:rPr>
                <w:b/>
                <w:color w:val="000000"/>
                <w:sz w:val="20"/>
                <w:szCs w:val="20"/>
              </w:rPr>
            </w:pPr>
            <w:r w:rsidRPr="008A19EF">
              <w:rPr>
                <w:b/>
                <w:color w:val="000000"/>
                <w:sz w:val="20"/>
                <w:szCs w:val="20"/>
              </w:rPr>
              <w:t>Fyzické osoby - podnikatelia spolu</w:t>
            </w:r>
          </w:p>
        </w:tc>
        <w:tc>
          <w:tcPr>
            <w:tcW w:w="1172" w:type="dxa"/>
            <w:tcBorders>
              <w:top w:val="single" w:sz="4" w:space="0" w:color="auto"/>
              <w:left w:val="nil"/>
              <w:bottom w:val="single" w:sz="18" w:space="0" w:color="auto"/>
              <w:right w:val="single" w:sz="4" w:space="0" w:color="auto"/>
            </w:tcBorders>
            <w:shd w:val="clear" w:color="auto" w:fill="FFFF00"/>
            <w:noWrap/>
            <w:vAlign w:val="center"/>
            <w:hideMark/>
          </w:tcPr>
          <w:p w:rsidR="006B3404" w:rsidRPr="008A19EF" w:rsidRDefault="006B3404" w:rsidP="008C1B7E">
            <w:pPr>
              <w:spacing w:line="240" w:lineRule="auto"/>
              <w:contextualSpacing/>
              <w:jc w:val="right"/>
              <w:rPr>
                <w:color w:val="000000"/>
                <w:sz w:val="20"/>
                <w:szCs w:val="20"/>
              </w:rPr>
            </w:pPr>
            <w:r w:rsidRPr="008A19EF">
              <w:rPr>
                <w:color w:val="000000"/>
                <w:sz w:val="20"/>
                <w:szCs w:val="20"/>
              </w:rPr>
              <w:t>360378</w:t>
            </w:r>
          </w:p>
        </w:tc>
        <w:tc>
          <w:tcPr>
            <w:tcW w:w="1173" w:type="dxa"/>
            <w:tcBorders>
              <w:top w:val="single" w:sz="4" w:space="0" w:color="auto"/>
              <w:left w:val="nil"/>
              <w:bottom w:val="single" w:sz="18" w:space="0" w:color="auto"/>
              <w:right w:val="single" w:sz="4" w:space="0" w:color="auto"/>
            </w:tcBorders>
            <w:shd w:val="clear" w:color="auto" w:fill="FFFF00"/>
            <w:noWrap/>
            <w:vAlign w:val="center"/>
            <w:hideMark/>
          </w:tcPr>
          <w:p w:rsidR="006B3404" w:rsidRPr="008A19EF" w:rsidRDefault="006B3404" w:rsidP="008C1B7E">
            <w:pPr>
              <w:spacing w:line="240" w:lineRule="auto"/>
              <w:contextualSpacing/>
              <w:jc w:val="right"/>
              <w:rPr>
                <w:color w:val="000000"/>
                <w:sz w:val="20"/>
                <w:szCs w:val="20"/>
              </w:rPr>
            </w:pPr>
            <w:r w:rsidRPr="008A19EF">
              <w:rPr>
                <w:color w:val="000000"/>
                <w:sz w:val="20"/>
                <w:szCs w:val="20"/>
              </w:rPr>
              <w:t>367094</w:t>
            </w:r>
          </w:p>
        </w:tc>
        <w:tc>
          <w:tcPr>
            <w:tcW w:w="1173" w:type="dxa"/>
            <w:tcBorders>
              <w:top w:val="single" w:sz="4" w:space="0" w:color="auto"/>
              <w:left w:val="nil"/>
              <w:bottom w:val="single" w:sz="18" w:space="0" w:color="auto"/>
              <w:right w:val="single" w:sz="4" w:space="0" w:color="auto"/>
            </w:tcBorders>
            <w:shd w:val="clear" w:color="auto" w:fill="FFFF00"/>
            <w:noWrap/>
            <w:vAlign w:val="center"/>
            <w:hideMark/>
          </w:tcPr>
          <w:p w:rsidR="006B3404" w:rsidRPr="008A19EF" w:rsidRDefault="006B3404" w:rsidP="008C1B7E">
            <w:pPr>
              <w:spacing w:line="240" w:lineRule="auto"/>
              <w:contextualSpacing/>
              <w:jc w:val="right"/>
              <w:rPr>
                <w:color w:val="000000"/>
                <w:sz w:val="20"/>
                <w:szCs w:val="20"/>
              </w:rPr>
            </w:pPr>
            <w:r w:rsidRPr="008A19EF">
              <w:rPr>
                <w:color w:val="000000"/>
                <w:sz w:val="20"/>
                <w:szCs w:val="20"/>
              </w:rPr>
              <w:t>388246</w:t>
            </w:r>
          </w:p>
        </w:tc>
        <w:tc>
          <w:tcPr>
            <w:tcW w:w="1173" w:type="dxa"/>
            <w:tcBorders>
              <w:top w:val="single" w:sz="4" w:space="0" w:color="auto"/>
              <w:left w:val="nil"/>
              <w:bottom w:val="single" w:sz="18" w:space="0" w:color="auto"/>
              <w:right w:val="single" w:sz="4" w:space="0" w:color="auto"/>
            </w:tcBorders>
            <w:shd w:val="clear" w:color="auto" w:fill="FFFF00"/>
            <w:noWrap/>
            <w:vAlign w:val="center"/>
            <w:hideMark/>
          </w:tcPr>
          <w:p w:rsidR="006B3404" w:rsidRPr="008A19EF" w:rsidRDefault="006B3404" w:rsidP="008C1B7E">
            <w:pPr>
              <w:spacing w:line="240" w:lineRule="auto"/>
              <w:contextualSpacing/>
              <w:jc w:val="right"/>
              <w:rPr>
                <w:color w:val="000000"/>
                <w:sz w:val="20"/>
                <w:szCs w:val="20"/>
              </w:rPr>
            </w:pPr>
            <w:r w:rsidRPr="008A19EF">
              <w:rPr>
                <w:color w:val="000000"/>
                <w:sz w:val="20"/>
                <w:szCs w:val="20"/>
              </w:rPr>
              <w:t>399641</w:t>
            </w:r>
          </w:p>
        </w:tc>
        <w:tc>
          <w:tcPr>
            <w:tcW w:w="1173" w:type="dxa"/>
            <w:tcBorders>
              <w:top w:val="single" w:sz="4" w:space="0" w:color="auto"/>
              <w:left w:val="nil"/>
              <w:bottom w:val="single" w:sz="18" w:space="0" w:color="auto"/>
              <w:right w:val="single" w:sz="18" w:space="0" w:color="auto"/>
            </w:tcBorders>
            <w:shd w:val="clear" w:color="auto" w:fill="FFFF00"/>
            <w:noWrap/>
            <w:vAlign w:val="center"/>
            <w:hideMark/>
          </w:tcPr>
          <w:p w:rsidR="006B3404" w:rsidRPr="008A19EF" w:rsidRDefault="006B3404" w:rsidP="008C1B7E">
            <w:pPr>
              <w:spacing w:line="240" w:lineRule="auto"/>
              <w:contextualSpacing/>
              <w:jc w:val="right"/>
              <w:rPr>
                <w:color w:val="000000"/>
                <w:sz w:val="20"/>
                <w:szCs w:val="20"/>
              </w:rPr>
            </w:pPr>
            <w:r w:rsidRPr="008A19EF">
              <w:rPr>
                <w:color w:val="000000"/>
                <w:sz w:val="20"/>
                <w:szCs w:val="20"/>
              </w:rPr>
              <w:t>418221</w:t>
            </w:r>
          </w:p>
        </w:tc>
      </w:tr>
      <w:tr w:rsidR="006B3404" w:rsidRPr="00344365" w:rsidTr="003C3829">
        <w:trPr>
          <w:trHeight w:val="300"/>
          <w:jc w:val="center"/>
        </w:trPr>
        <w:tc>
          <w:tcPr>
            <w:tcW w:w="2940" w:type="dxa"/>
            <w:tcBorders>
              <w:top w:val="single" w:sz="18" w:space="0" w:color="auto"/>
              <w:left w:val="single" w:sz="18" w:space="0" w:color="auto"/>
              <w:bottom w:val="single" w:sz="4" w:space="0" w:color="auto"/>
              <w:right w:val="single" w:sz="4" w:space="0" w:color="auto"/>
            </w:tcBorders>
            <w:shd w:val="clear" w:color="auto" w:fill="auto"/>
            <w:noWrap/>
            <w:vAlign w:val="center"/>
            <w:hideMark/>
          </w:tcPr>
          <w:p w:rsidR="006B3404" w:rsidRPr="008A19EF" w:rsidRDefault="006B3404" w:rsidP="008C1B7E">
            <w:pPr>
              <w:spacing w:line="240" w:lineRule="auto"/>
              <w:contextualSpacing/>
              <w:jc w:val="left"/>
              <w:rPr>
                <w:b/>
                <w:color w:val="000000"/>
                <w:sz w:val="20"/>
                <w:szCs w:val="20"/>
              </w:rPr>
            </w:pPr>
            <w:r w:rsidRPr="008A19EF">
              <w:rPr>
                <w:b/>
                <w:color w:val="000000"/>
                <w:sz w:val="20"/>
                <w:szCs w:val="20"/>
              </w:rPr>
              <w:t>Slobodné povolania</w:t>
            </w:r>
          </w:p>
        </w:tc>
        <w:tc>
          <w:tcPr>
            <w:tcW w:w="1172" w:type="dxa"/>
            <w:tcBorders>
              <w:top w:val="single" w:sz="18" w:space="0" w:color="auto"/>
              <w:left w:val="nil"/>
              <w:bottom w:val="single" w:sz="4" w:space="0" w:color="auto"/>
              <w:right w:val="single" w:sz="4" w:space="0" w:color="auto"/>
            </w:tcBorders>
            <w:shd w:val="clear" w:color="auto" w:fill="auto"/>
            <w:noWrap/>
            <w:vAlign w:val="center"/>
            <w:hideMark/>
          </w:tcPr>
          <w:p w:rsidR="006B3404" w:rsidRPr="008A19EF" w:rsidRDefault="006B3404" w:rsidP="008C1B7E">
            <w:pPr>
              <w:spacing w:line="240" w:lineRule="auto"/>
              <w:contextualSpacing/>
              <w:jc w:val="right"/>
              <w:rPr>
                <w:color w:val="000000"/>
                <w:sz w:val="20"/>
                <w:szCs w:val="20"/>
              </w:rPr>
            </w:pPr>
            <w:r w:rsidRPr="008A19EF">
              <w:rPr>
                <w:color w:val="000000"/>
                <w:sz w:val="20"/>
                <w:szCs w:val="20"/>
              </w:rPr>
              <w:t>13683</w:t>
            </w:r>
          </w:p>
        </w:tc>
        <w:tc>
          <w:tcPr>
            <w:tcW w:w="1173" w:type="dxa"/>
            <w:tcBorders>
              <w:top w:val="single" w:sz="18" w:space="0" w:color="auto"/>
              <w:left w:val="nil"/>
              <w:bottom w:val="single" w:sz="4" w:space="0" w:color="auto"/>
              <w:right w:val="single" w:sz="4" w:space="0" w:color="auto"/>
            </w:tcBorders>
            <w:shd w:val="clear" w:color="auto" w:fill="auto"/>
            <w:noWrap/>
            <w:vAlign w:val="center"/>
            <w:hideMark/>
          </w:tcPr>
          <w:p w:rsidR="006B3404" w:rsidRPr="008A19EF" w:rsidRDefault="006B3404" w:rsidP="008C1B7E">
            <w:pPr>
              <w:spacing w:line="240" w:lineRule="auto"/>
              <w:contextualSpacing/>
              <w:jc w:val="right"/>
              <w:rPr>
                <w:color w:val="000000"/>
                <w:sz w:val="20"/>
                <w:szCs w:val="20"/>
              </w:rPr>
            </w:pPr>
            <w:r w:rsidRPr="008A19EF">
              <w:rPr>
                <w:color w:val="000000"/>
                <w:sz w:val="20"/>
                <w:szCs w:val="20"/>
              </w:rPr>
              <w:t>12752</w:t>
            </w:r>
          </w:p>
        </w:tc>
        <w:tc>
          <w:tcPr>
            <w:tcW w:w="1173" w:type="dxa"/>
            <w:tcBorders>
              <w:top w:val="single" w:sz="18" w:space="0" w:color="auto"/>
              <w:left w:val="nil"/>
              <w:bottom w:val="single" w:sz="4" w:space="0" w:color="auto"/>
              <w:right w:val="single" w:sz="4" w:space="0" w:color="auto"/>
            </w:tcBorders>
            <w:shd w:val="clear" w:color="auto" w:fill="auto"/>
            <w:noWrap/>
            <w:vAlign w:val="center"/>
            <w:hideMark/>
          </w:tcPr>
          <w:p w:rsidR="006B3404" w:rsidRPr="008A19EF" w:rsidRDefault="006B3404" w:rsidP="008C1B7E">
            <w:pPr>
              <w:spacing w:line="240" w:lineRule="auto"/>
              <w:contextualSpacing/>
              <w:jc w:val="right"/>
              <w:rPr>
                <w:color w:val="000000"/>
                <w:sz w:val="20"/>
                <w:szCs w:val="20"/>
              </w:rPr>
            </w:pPr>
            <w:r w:rsidRPr="008A19EF">
              <w:rPr>
                <w:color w:val="000000"/>
                <w:sz w:val="20"/>
                <w:szCs w:val="20"/>
              </w:rPr>
              <w:t>15175</w:t>
            </w:r>
          </w:p>
        </w:tc>
        <w:tc>
          <w:tcPr>
            <w:tcW w:w="1173" w:type="dxa"/>
            <w:tcBorders>
              <w:top w:val="single" w:sz="18" w:space="0" w:color="auto"/>
              <w:left w:val="nil"/>
              <w:bottom w:val="single" w:sz="4" w:space="0" w:color="auto"/>
              <w:right w:val="single" w:sz="4" w:space="0" w:color="auto"/>
            </w:tcBorders>
            <w:shd w:val="clear" w:color="auto" w:fill="auto"/>
            <w:noWrap/>
            <w:vAlign w:val="center"/>
            <w:hideMark/>
          </w:tcPr>
          <w:p w:rsidR="006B3404" w:rsidRPr="008A19EF" w:rsidRDefault="006B3404" w:rsidP="008C1B7E">
            <w:pPr>
              <w:spacing w:line="240" w:lineRule="auto"/>
              <w:contextualSpacing/>
              <w:jc w:val="right"/>
              <w:rPr>
                <w:color w:val="000000"/>
                <w:sz w:val="20"/>
                <w:szCs w:val="20"/>
              </w:rPr>
            </w:pPr>
            <w:r w:rsidRPr="008A19EF">
              <w:rPr>
                <w:color w:val="000000"/>
                <w:sz w:val="20"/>
                <w:szCs w:val="20"/>
              </w:rPr>
              <w:t>16725</w:t>
            </w:r>
          </w:p>
        </w:tc>
        <w:tc>
          <w:tcPr>
            <w:tcW w:w="1173" w:type="dxa"/>
            <w:tcBorders>
              <w:top w:val="single" w:sz="18" w:space="0" w:color="auto"/>
              <w:left w:val="nil"/>
              <w:bottom w:val="single" w:sz="4" w:space="0" w:color="auto"/>
              <w:right w:val="single" w:sz="18" w:space="0" w:color="auto"/>
            </w:tcBorders>
            <w:shd w:val="clear" w:color="auto" w:fill="auto"/>
            <w:noWrap/>
            <w:vAlign w:val="center"/>
            <w:hideMark/>
          </w:tcPr>
          <w:p w:rsidR="006B3404" w:rsidRPr="008A19EF" w:rsidRDefault="006B3404" w:rsidP="008C1B7E">
            <w:pPr>
              <w:spacing w:line="240" w:lineRule="auto"/>
              <w:contextualSpacing/>
              <w:jc w:val="right"/>
              <w:rPr>
                <w:color w:val="000000"/>
                <w:sz w:val="20"/>
                <w:szCs w:val="20"/>
              </w:rPr>
            </w:pPr>
            <w:r w:rsidRPr="008A19EF">
              <w:rPr>
                <w:color w:val="000000"/>
                <w:sz w:val="20"/>
                <w:szCs w:val="20"/>
              </w:rPr>
              <w:t>17189</w:t>
            </w:r>
          </w:p>
        </w:tc>
      </w:tr>
      <w:tr w:rsidR="006B3404" w:rsidRPr="00344365" w:rsidTr="003C3829">
        <w:trPr>
          <w:trHeight w:val="300"/>
          <w:jc w:val="center"/>
        </w:trPr>
        <w:tc>
          <w:tcPr>
            <w:tcW w:w="294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rsidR="006B3404" w:rsidRPr="008A19EF" w:rsidRDefault="006B3404" w:rsidP="008C1B7E">
            <w:pPr>
              <w:spacing w:line="240" w:lineRule="auto"/>
              <w:contextualSpacing/>
              <w:jc w:val="left"/>
              <w:rPr>
                <w:b/>
                <w:color w:val="000000"/>
                <w:sz w:val="20"/>
                <w:szCs w:val="20"/>
              </w:rPr>
            </w:pPr>
            <w:r w:rsidRPr="008A19EF">
              <w:rPr>
                <w:b/>
                <w:color w:val="000000"/>
                <w:sz w:val="20"/>
                <w:szCs w:val="20"/>
              </w:rPr>
              <w:t>Samostatne hospodáriaci roľníci</w:t>
            </w: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rsidR="006B3404" w:rsidRPr="008A19EF" w:rsidRDefault="006B3404" w:rsidP="008C1B7E">
            <w:pPr>
              <w:spacing w:line="240" w:lineRule="auto"/>
              <w:contextualSpacing/>
              <w:jc w:val="right"/>
              <w:rPr>
                <w:color w:val="000000"/>
                <w:sz w:val="20"/>
                <w:szCs w:val="20"/>
              </w:rPr>
            </w:pPr>
            <w:r w:rsidRPr="008A19EF">
              <w:rPr>
                <w:color w:val="000000"/>
                <w:sz w:val="20"/>
                <w:szCs w:val="20"/>
              </w:rPr>
              <w:t>10055</w:t>
            </w:r>
          </w:p>
        </w:tc>
        <w:tc>
          <w:tcPr>
            <w:tcW w:w="1173" w:type="dxa"/>
            <w:tcBorders>
              <w:top w:val="single" w:sz="4" w:space="0" w:color="auto"/>
              <w:left w:val="nil"/>
              <w:bottom w:val="single" w:sz="4" w:space="0" w:color="auto"/>
              <w:right w:val="single" w:sz="4" w:space="0" w:color="auto"/>
            </w:tcBorders>
            <w:shd w:val="clear" w:color="auto" w:fill="auto"/>
            <w:noWrap/>
            <w:vAlign w:val="center"/>
            <w:hideMark/>
          </w:tcPr>
          <w:p w:rsidR="006B3404" w:rsidRPr="008A19EF" w:rsidRDefault="006B3404" w:rsidP="008C1B7E">
            <w:pPr>
              <w:spacing w:line="240" w:lineRule="auto"/>
              <w:contextualSpacing/>
              <w:jc w:val="right"/>
              <w:rPr>
                <w:color w:val="000000"/>
                <w:sz w:val="20"/>
                <w:szCs w:val="20"/>
              </w:rPr>
            </w:pPr>
            <w:r w:rsidRPr="008A19EF">
              <w:rPr>
                <w:color w:val="000000"/>
                <w:sz w:val="20"/>
                <w:szCs w:val="20"/>
              </w:rPr>
              <w:t>9472</w:t>
            </w:r>
          </w:p>
        </w:tc>
        <w:tc>
          <w:tcPr>
            <w:tcW w:w="1173" w:type="dxa"/>
            <w:tcBorders>
              <w:top w:val="single" w:sz="4" w:space="0" w:color="auto"/>
              <w:left w:val="nil"/>
              <w:bottom w:val="single" w:sz="4" w:space="0" w:color="auto"/>
              <w:right w:val="single" w:sz="4" w:space="0" w:color="auto"/>
            </w:tcBorders>
            <w:shd w:val="clear" w:color="auto" w:fill="auto"/>
            <w:noWrap/>
            <w:vAlign w:val="center"/>
            <w:hideMark/>
          </w:tcPr>
          <w:p w:rsidR="006B3404" w:rsidRPr="008A19EF" w:rsidRDefault="006B3404" w:rsidP="008C1B7E">
            <w:pPr>
              <w:spacing w:line="240" w:lineRule="auto"/>
              <w:contextualSpacing/>
              <w:jc w:val="right"/>
              <w:rPr>
                <w:color w:val="000000"/>
                <w:sz w:val="20"/>
                <w:szCs w:val="20"/>
              </w:rPr>
            </w:pPr>
            <w:r w:rsidRPr="008A19EF">
              <w:rPr>
                <w:color w:val="000000"/>
                <w:sz w:val="20"/>
                <w:szCs w:val="20"/>
              </w:rPr>
              <w:t>8886</w:t>
            </w:r>
          </w:p>
        </w:tc>
        <w:tc>
          <w:tcPr>
            <w:tcW w:w="1173" w:type="dxa"/>
            <w:tcBorders>
              <w:top w:val="single" w:sz="4" w:space="0" w:color="auto"/>
              <w:left w:val="nil"/>
              <w:bottom w:val="single" w:sz="4" w:space="0" w:color="auto"/>
              <w:right w:val="single" w:sz="4" w:space="0" w:color="auto"/>
            </w:tcBorders>
            <w:shd w:val="clear" w:color="auto" w:fill="auto"/>
            <w:noWrap/>
            <w:vAlign w:val="center"/>
            <w:hideMark/>
          </w:tcPr>
          <w:p w:rsidR="006B3404" w:rsidRPr="008A19EF" w:rsidRDefault="006B3404" w:rsidP="008C1B7E">
            <w:pPr>
              <w:spacing w:line="240" w:lineRule="auto"/>
              <w:contextualSpacing/>
              <w:jc w:val="right"/>
              <w:rPr>
                <w:color w:val="000000"/>
                <w:sz w:val="20"/>
                <w:szCs w:val="20"/>
              </w:rPr>
            </w:pPr>
            <w:r w:rsidRPr="008A19EF">
              <w:rPr>
                <w:color w:val="000000"/>
                <w:sz w:val="20"/>
                <w:szCs w:val="20"/>
              </w:rPr>
              <w:t>8534</w:t>
            </w:r>
          </w:p>
        </w:tc>
        <w:tc>
          <w:tcPr>
            <w:tcW w:w="1173" w:type="dxa"/>
            <w:tcBorders>
              <w:top w:val="single" w:sz="4" w:space="0" w:color="auto"/>
              <w:left w:val="nil"/>
              <w:bottom w:val="single" w:sz="4" w:space="0" w:color="auto"/>
              <w:right w:val="single" w:sz="18" w:space="0" w:color="auto"/>
            </w:tcBorders>
            <w:shd w:val="clear" w:color="auto" w:fill="auto"/>
            <w:noWrap/>
            <w:vAlign w:val="center"/>
            <w:hideMark/>
          </w:tcPr>
          <w:p w:rsidR="006B3404" w:rsidRPr="008A19EF" w:rsidRDefault="006B3404" w:rsidP="008C1B7E">
            <w:pPr>
              <w:spacing w:line="240" w:lineRule="auto"/>
              <w:contextualSpacing/>
              <w:jc w:val="right"/>
              <w:rPr>
                <w:color w:val="000000"/>
                <w:sz w:val="20"/>
                <w:szCs w:val="20"/>
              </w:rPr>
            </w:pPr>
            <w:r w:rsidRPr="008A19EF">
              <w:rPr>
                <w:color w:val="000000"/>
                <w:sz w:val="20"/>
                <w:szCs w:val="20"/>
              </w:rPr>
              <w:t>8191</w:t>
            </w:r>
          </w:p>
        </w:tc>
      </w:tr>
      <w:tr w:rsidR="006B3404" w:rsidRPr="00344365" w:rsidTr="003C3829">
        <w:trPr>
          <w:trHeight w:val="300"/>
          <w:jc w:val="center"/>
        </w:trPr>
        <w:tc>
          <w:tcPr>
            <w:tcW w:w="2940" w:type="dxa"/>
            <w:tcBorders>
              <w:top w:val="single" w:sz="4" w:space="0" w:color="auto"/>
              <w:left w:val="single" w:sz="18" w:space="0" w:color="auto"/>
              <w:bottom w:val="single" w:sz="18" w:space="0" w:color="auto"/>
              <w:right w:val="single" w:sz="4" w:space="0" w:color="auto"/>
            </w:tcBorders>
            <w:shd w:val="clear" w:color="auto" w:fill="CC00FF"/>
            <w:noWrap/>
            <w:vAlign w:val="center"/>
            <w:hideMark/>
          </w:tcPr>
          <w:p w:rsidR="006B3404" w:rsidRPr="008A19EF" w:rsidRDefault="006B3404" w:rsidP="008C1B7E">
            <w:pPr>
              <w:spacing w:line="240" w:lineRule="auto"/>
              <w:contextualSpacing/>
              <w:jc w:val="left"/>
              <w:rPr>
                <w:b/>
                <w:color w:val="000000"/>
                <w:sz w:val="20"/>
                <w:szCs w:val="20"/>
              </w:rPr>
            </w:pPr>
            <w:r w:rsidRPr="008A19EF">
              <w:rPr>
                <w:b/>
                <w:color w:val="000000"/>
                <w:sz w:val="20"/>
                <w:szCs w:val="20"/>
              </w:rPr>
              <w:t>Živnostníci</w:t>
            </w:r>
          </w:p>
        </w:tc>
        <w:tc>
          <w:tcPr>
            <w:tcW w:w="1172" w:type="dxa"/>
            <w:tcBorders>
              <w:top w:val="single" w:sz="4" w:space="0" w:color="auto"/>
              <w:left w:val="nil"/>
              <w:bottom w:val="single" w:sz="18" w:space="0" w:color="auto"/>
              <w:right w:val="single" w:sz="4" w:space="0" w:color="auto"/>
            </w:tcBorders>
            <w:shd w:val="clear" w:color="auto" w:fill="CC00FF"/>
            <w:noWrap/>
            <w:vAlign w:val="center"/>
            <w:hideMark/>
          </w:tcPr>
          <w:p w:rsidR="006B3404" w:rsidRPr="008A19EF" w:rsidRDefault="006B3404" w:rsidP="008C1B7E">
            <w:pPr>
              <w:spacing w:line="240" w:lineRule="auto"/>
              <w:contextualSpacing/>
              <w:jc w:val="right"/>
              <w:rPr>
                <w:color w:val="000000"/>
                <w:sz w:val="20"/>
                <w:szCs w:val="20"/>
              </w:rPr>
            </w:pPr>
            <w:r w:rsidRPr="008A19EF">
              <w:rPr>
                <w:color w:val="000000"/>
                <w:sz w:val="20"/>
                <w:szCs w:val="20"/>
              </w:rPr>
              <w:t>336640</w:t>
            </w:r>
          </w:p>
        </w:tc>
        <w:tc>
          <w:tcPr>
            <w:tcW w:w="1173" w:type="dxa"/>
            <w:tcBorders>
              <w:top w:val="single" w:sz="4" w:space="0" w:color="auto"/>
              <w:left w:val="nil"/>
              <w:bottom w:val="single" w:sz="18" w:space="0" w:color="auto"/>
              <w:right w:val="single" w:sz="4" w:space="0" w:color="auto"/>
            </w:tcBorders>
            <w:shd w:val="clear" w:color="auto" w:fill="CC00FF"/>
            <w:noWrap/>
            <w:vAlign w:val="center"/>
            <w:hideMark/>
          </w:tcPr>
          <w:p w:rsidR="006B3404" w:rsidRPr="008A19EF" w:rsidRDefault="006B3404" w:rsidP="008C1B7E">
            <w:pPr>
              <w:spacing w:line="240" w:lineRule="auto"/>
              <w:contextualSpacing/>
              <w:jc w:val="right"/>
              <w:rPr>
                <w:color w:val="000000"/>
                <w:sz w:val="20"/>
                <w:szCs w:val="20"/>
              </w:rPr>
            </w:pPr>
            <w:r w:rsidRPr="008A19EF">
              <w:rPr>
                <w:color w:val="000000"/>
                <w:sz w:val="20"/>
                <w:szCs w:val="20"/>
              </w:rPr>
              <w:t>344870</w:t>
            </w:r>
          </w:p>
        </w:tc>
        <w:tc>
          <w:tcPr>
            <w:tcW w:w="1173" w:type="dxa"/>
            <w:tcBorders>
              <w:top w:val="single" w:sz="4" w:space="0" w:color="auto"/>
              <w:left w:val="nil"/>
              <w:bottom w:val="single" w:sz="18" w:space="0" w:color="auto"/>
              <w:right w:val="single" w:sz="4" w:space="0" w:color="auto"/>
            </w:tcBorders>
            <w:shd w:val="clear" w:color="auto" w:fill="CC00FF"/>
            <w:noWrap/>
            <w:vAlign w:val="center"/>
            <w:hideMark/>
          </w:tcPr>
          <w:p w:rsidR="006B3404" w:rsidRPr="008A19EF" w:rsidRDefault="006B3404" w:rsidP="008C1B7E">
            <w:pPr>
              <w:spacing w:line="240" w:lineRule="auto"/>
              <w:contextualSpacing/>
              <w:jc w:val="right"/>
              <w:rPr>
                <w:color w:val="000000"/>
                <w:sz w:val="20"/>
                <w:szCs w:val="20"/>
              </w:rPr>
            </w:pPr>
            <w:r w:rsidRPr="008A19EF">
              <w:rPr>
                <w:color w:val="000000"/>
                <w:sz w:val="20"/>
                <w:szCs w:val="20"/>
              </w:rPr>
              <w:t>364185</w:t>
            </w:r>
          </w:p>
        </w:tc>
        <w:tc>
          <w:tcPr>
            <w:tcW w:w="1173" w:type="dxa"/>
            <w:tcBorders>
              <w:top w:val="single" w:sz="4" w:space="0" w:color="auto"/>
              <w:left w:val="nil"/>
              <w:bottom w:val="single" w:sz="18" w:space="0" w:color="auto"/>
              <w:right w:val="single" w:sz="4" w:space="0" w:color="auto"/>
            </w:tcBorders>
            <w:shd w:val="clear" w:color="auto" w:fill="CC00FF"/>
            <w:noWrap/>
            <w:vAlign w:val="center"/>
            <w:hideMark/>
          </w:tcPr>
          <w:p w:rsidR="006B3404" w:rsidRPr="008A19EF" w:rsidRDefault="006B3404" w:rsidP="008C1B7E">
            <w:pPr>
              <w:spacing w:line="240" w:lineRule="auto"/>
              <w:contextualSpacing/>
              <w:jc w:val="right"/>
              <w:rPr>
                <w:color w:val="000000"/>
                <w:sz w:val="20"/>
                <w:szCs w:val="20"/>
              </w:rPr>
            </w:pPr>
            <w:r w:rsidRPr="008A19EF">
              <w:rPr>
                <w:color w:val="000000"/>
                <w:sz w:val="20"/>
                <w:szCs w:val="20"/>
              </w:rPr>
              <w:t>374382</w:t>
            </w:r>
          </w:p>
        </w:tc>
        <w:tc>
          <w:tcPr>
            <w:tcW w:w="1173" w:type="dxa"/>
            <w:tcBorders>
              <w:top w:val="single" w:sz="4" w:space="0" w:color="auto"/>
              <w:left w:val="nil"/>
              <w:bottom w:val="single" w:sz="18" w:space="0" w:color="auto"/>
              <w:right w:val="single" w:sz="18" w:space="0" w:color="auto"/>
            </w:tcBorders>
            <w:shd w:val="clear" w:color="auto" w:fill="CC00FF"/>
            <w:noWrap/>
            <w:vAlign w:val="center"/>
            <w:hideMark/>
          </w:tcPr>
          <w:p w:rsidR="006B3404" w:rsidRPr="008A19EF" w:rsidRDefault="006B3404" w:rsidP="008C1B7E">
            <w:pPr>
              <w:spacing w:line="240" w:lineRule="auto"/>
              <w:contextualSpacing/>
              <w:jc w:val="right"/>
              <w:rPr>
                <w:color w:val="000000"/>
                <w:sz w:val="20"/>
                <w:szCs w:val="20"/>
              </w:rPr>
            </w:pPr>
            <w:r w:rsidRPr="008A19EF">
              <w:rPr>
                <w:color w:val="000000"/>
                <w:sz w:val="20"/>
                <w:szCs w:val="20"/>
              </w:rPr>
              <w:t>392841</w:t>
            </w:r>
          </w:p>
        </w:tc>
      </w:tr>
      <w:tr w:rsidR="006B3404" w:rsidRPr="00344365" w:rsidTr="003C3829">
        <w:trPr>
          <w:trHeight w:val="300"/>
          <w:jc w:val="center"/>
        </w:trPr>
        <w:tc>
          <w:tcPr>
            <w:tcW w:w="2940" w:type="dxa"/>
            <w:tcBorders>
              <w:top w:val="single" w:sz="18" w:space="0" w:color="auto"/>
              <w:left w:val="single" w:sz="18" w:space="0" w:color="auto"/>
              <w:bottom w:val="single" w:sz="18" w:space="0" w:color="auto"/>
              <w:right w:val="single" w:sz="4" w:space="0" w:color="auto"/>
            </w:tcBorders>
            <w:shd w:val="clear" w:color="auto" w:fill="FFFF00"/>
            <w:noWrap/>
            <w:vAlign w:val="center"/>
            <w:hideMark/>
          </w:tcPr>
          <w:p w:rsidR="006B3404" w:rsidRPr="008A19EF" w:rsidRDefault="006B3404" w:rsidP="008C1B7E">
            <w:pPr>
              <w:spacing w:line="240" w:lineRule="auto"/>
              <w:contextualSpacing/>
              <w:jc w:val="left"/>
              <w:rPr>
                <w:b/>
                <w:color w:val="000000"/>
                <w:sz w:val="20"/>
                <w:szCs w:val="20"/>
              </w:rPr>
            </w:pPr>
            <w:r w:rsidRPr="008A19EF">
              <w:rPr>
                <w:b/>
                <w:color w:val="000000"/>
                <w:sz w:val="20"/>
                <w:szCs w:val="20"/>
              </w:rPr>
              <w:t>Ekonomické subjekty spolu</w:t>
            </w:r>
          </w:p>
        </w:tc>
        <w:tc>
          <w:tcPr>
            <w:tcW w:w="1172" w:type="dxa"/>
            <w:tcBorders>
              <w:top w:val="single" w:sz="18" w:space="0" w:color="auto"/>
              <w:left w:val="nil"/>
              <w:bottom w:val="single" w:sz="18" w:space="0" w:color="auto"/>
              <w:right w:val="single" w:sz="4" w:space="0" w:color="auto"/>
            </w:tcBorders>
            <w:shd w:val="clear" w:color="auto" w:fill="FFFF00"/>
            <w:noWrap/>
            <w:vAlign w:val="center"/>
            <w:hideMark/>
          </w:tcPr>
          <w:p w:rsidR="006B3404" w:rsidRPr="008A19EF" w:rsidRDefault="006B3404" w:rsidP="008C1B7E">
            <w:pPr>
              <w:spacing w:line="240" w:lineRule="auto"/>
              <w:contextualSpacing/>
              <w:jc w:val="right"/>
              <w:rPr>
                <w:color w:val="000000"/>
                <w:sz w:val="20"/>
                <w:szCs w:val="20"/>
                <w:lang w:val="en-US"/>
              </w:rPr>
            </w:pPr>
            <w:r w:rsidRPr="008A19EF">
              <w:rPr>
                <w:color w:val="000000"/>
                <w:sz w:val="20"/>
                <w:szCs w:val="20"/>
                <w:lang w:val="en-US"/>
              </w:rPr>
              <w:t>474663</w:t>
            </w:r>
          </w:p>
        </w:tc>
        <w:tc>
          <w:tcPr>
            <w:tcW w:w="1173" w:type="dxa"/>
            <w:tcBorders>
              <w:top w:val="single" w:sz="18" w:space="0" w:color="auto"/>
              <w:left w:val="nil"/>
              <w:bottom w:val="single" w:sz="18" w:space="0" w:color="auto"/>
              <w:right w:val="single" w:sz="4" w:space="0" w:color="auto"/>
            </w:tcBorders>
            <w:shd w:val="clear" w:color="auto" w:fill="FFFF00"/>
            <w:noWrap/>
            <w:vAlign w:val="center"/>
            <w:hideMark/>
          </w:tcPr>
          <w:p w:rsidR="006B3404" w:rsidRPr="008A19EF" w:rsidRDefault="006B3404" w:rsidP="008C1B7E">
            <w:pPr>
              <w:spacing w:line="240" w:lineRule="auto"/>
              <w:jc w:val="right"/>
              <w:rPr>
                <w:color w:val="000000"/>
                <w:sz w:val="20"/>
                <w:szCs w:val="20"/>
              </w:rPr>
            </w:pPr>
            <w:r w:rsidRPr="008A19EF">
              <w:rPr>
                <w:color w:val="000000"/>
                <w:sz w:val="20"/>
                <w:szCs w:val="20"/>
              </w:rPr>
              <w:t>493871</w:t>
            </w:r>
          </w:p>
        </w:tc>
        <w:tc>
          <w:tcPr>
            <w:tcW w:w="1173" w:type="dxa"/>
            <w:tcBorders>
              <w:top w:val="single" w:sz="18" w:space="0" w:color="auto"/>
              <w:left w:val="nil"/>
              <w:bottom w:val="single" w:sz="18" w:space="0" w:color="auto"/>
              <w:right w:val="single" w:sz="4" w:space="0" w:color="auto"/>
            </w:tcBorders>
            <w:shd w:val="clear" w:color="auto" w:fill="FFFF00"/>
            <w:noWrap/>
            <w:vAlign w:val="center"/>
            <w:hideMark/>
          </w:tcPr>
          <w:p w:rsidR="006B3404" w:rsidRPr="008A19EF" w:rsidRDefault="006B3404" w:rsidP="008C1B7E">
            <w:pPr>
              <w:spacing w:line="240" w:lineRule="auto"/>
              <w:contextualSpacing/>
              <w:jc w:val="right"/>
              <w:rPr>
                <w:color w:val="000000"/>
                <w:sz w:val="20"/>
                <w:szCs w:val="20"/>
              </w:rPr>
            </w:pPr>
            <w:r w:rsidRPr="008A19EF">
              <w:rPr>
                <w:color w:val="000000"/>
                <w:sz w:val="20"/>
                <w:szCs w:val="20"/>
              </w:rPr>
              <w:t>527486</w:t>
            </w:r>
          </w:p>
        </w:tc>
        <w:tc>
          <w:tcPr>
            <w:tcW w:w="1173" w:type="dxa"/>
            <w:tcBorders>
              <w:top w:val="single" w:sz="18" w:space="0" w:color="auto"/>
              <w:left w:val="nil"/>
              <w:bottom w:val="single" w:sz="18" w:space="0" w:color="auto"/>
              <w:right w:val="single" w:sz="4" w:space="0" w:color="auto"/>
            </w:tcBorders>
            <w:shd w:val="clear" w:color="auto" w:fill="FFFF00"/>
            <w:noWrap/>
            <w:vAlign w:val="center"/>
            <w:hideMark/>
          </w:tcPr>
          <w:p w:rsidR="006B3404" w:rsidRPr="008A19EF" w:rsidRDefault="006B3404" w:rsidP="008C1B7E">
            <w:pPr>
              <w:spacing w:line="240" w:lineRule="auto"/>
              <w:contextualSpacing/>
              <w:jc w:val="right"/>
              <w:rPr>
                <w:color w:val="000000"/>
                <w:sz w:val="20"/>
                <w:szCs w:val="20"/>
              </w:rPr>
            </w:pPr>
            <w:r w:rsidRPr="008A19EF">
              <w:rPr>
                <w:color w:val="000000"/>
                <w:sz w:val="20"/>
                <w:szCs w:val="20"/>
              </w:rPr>
              <w:t>549413</w:t>
            </w:r>
          </w:p>
        </w:tc>
        <w:tc>
          <w:tcPr>
            <w:tcW w:w="1173" w:type="dxa"/>
            <w:tcBorders>
              <w:top w:val="single" w:sz="18" w:space="0" w:color="auto"/>
              <w:left w:val="nil"/>
              <w:bottom w:val="single" w:sz="18" w:space="0" w:color="auto"/>
              <w:right w:val="single" w:sz="18" w:space="0" w:color="auto"/>
            </w:tcBorders>
            <w:shd w:val="clear" w:color="auto" w:fill="FFFF00"/>
            <w:noWrap/>
            <w:vAlign w:val="center"/>
            <w:hideMark/>
          </w:tcPr>
          <w:p w:rsidR="006B3404" w:rsidRPr="008A19EF" w:rsidRDefault="006B3404" w:rsidP="008C1B7E">
            <w:pPr>
              <w:spacing w:line="240" w:lineRule="auto"/>
              <w:jc w:val="right"/>
              <w:rPr>
                <w:color w:val="000000"/>
                <w:sz w:val="20"/>
                <w:szCs w:val="20"/>
              </w:rPr>
            </w:pPr>
            <w:r w:rsidRPr="008A19EF">
              <w:rPr>
                <w:color w:val="000000"/>
                <w:sz w:val="20"/>
                <w:szCs w:val="20"/>
              </w:rPr>
              <w:t>588181</w:t>
            </w:r>
          </w:p>
        </w:tc>
      </w:tr>
    </w:tbl>
    <w:p w:rsidR="006B3404" w:rsidRPr="00344365" w:rsidRDefault="006B3404" w:rsidP="00A30D85">
      <w:pPr>
        <w:spacing w:line="240" w:lineRule="auto"/>
        <w:contextualSpacing/>
        <w:jc w:val="left"/>
        <w:rPr>
          <w:bCs/>
        </w:rPr>
      </w:pPr>
      <w:r w:rsidRPr="00344365">
        <w:rPr>
          <w:bCs/>
        </w:rPr>
        <w:t>Zdroj: ŠÚ SR</w:t>
      </w:r>
    </w:p>
    <w:p w:rsidR="006B3404" w:rsidRDefault="006B3404" w:rsidP="006B3404">
      <w:pPr>
        <w:spacing w:before="0"/>
        <w:contextualSpacing/>
        <w:rPr>
          <w:bCs/>
        </w:rPr>
      </w:pPr>
    </w:p>
    <w:p w:rsidR="00CD2E87" w:rsidRDefault="00CD2E87" w:rsidP="00CD2E87">
      <w:pPr>
        <w:spacing w:before="0"/>
        <w:ind w:firstLine="720"/>
        <w:contextualSpacing/>
        <w:rPr>
          <w:bCs/>
        </w:rPr>
      </w:pPr>
      <w:r w:rsidRPr="00344365">
        <w:rPr>
          <w:bCs/>
        </w:rPr>
        <w:t xml:space="preserve">Postavenie živnostníkov v rámci ekonomických subjektov v Slovenskej republike v sledovanom období 2004 - 2008 je uvedené </w:t>
      </w:r>
      <w:r>
        <w:rPr>
          <w:bCs/>
        </w:rPr>
        <w:t>na obr.</w:t>
      </w:r>
      <w:r w:rsidRPr="00344365">
        <w:rPr>
          <w:bCs/>
        </w:rPr>
        <w:t xml:space="preserve"> 1, ich počet v rámci fyzických osôb je naopak znázornený </w:t>
      </w:r>
      <w:r>
        <w:rPr>
          <w:bCs/>
        </w:rPr>
        <w:t>na obr.</w:t>
      </w:r>
      <w:r w:rsidRPr="00344365">
        <w:rPr>
          <w:bCs/>
        </w:rPr>
        <w:t xml:space="preserve"> 2. Na základe uvedených údajov môžeme konštatovať, že najväčšie zastúpenie v počte ekonomických subjektov ma</w:t>
      </w:r>
      <w:r>
        <w:rPr>
          <w:bCs/>
        </w:rPr>
        <w:t>li</w:t>
      </w:r>
      <w:r w:rsidRPr="00344365">
        <w:rPr>
          <w:bCs/>
        </w:rPr>
        <w:t xml:space="preserve"> fyzické osoby, v rámci ktorých domin</w:t>
      </w:r>
      <w:r>
        <w:rPr>
          <w:bCs/>
        </w:rPr>
        <w:t>ovali</w:t>
      </w:r>
      <w:r w:rsidRPr="00344365">
        <w:rPr>
          <w:bCs/>
        </w:rPr>
        <w:t xml:space="preserve"> živnostníci.</w:t>
      </w:r>
    </w:p>
    <w:p w:rsidR="00CD2E87" w:rsidRPr="00344365" w:rsidRDefault="00CD2E87" w:rsidP="00CD2E87">
      <w:pPr>
        <w:spacing w:line="240" w:lineRule="auto"/>
        <w:contextualSpacing/>
        <w:rPr>
          <w:b/>
          <w:bCs/>
        </w:rPr>
      </w:pPr>
      <w:r w:rsidRPr="00344365">
        <w:rPr>
          <w:b/>
          <w:bCs/>
        </w:rPr>
        <w:t xml:space="preserve">             </w:t>
      </w:r>
      <w:r>
        <w:rPr>
          <w:b/>
          <w:bCs/>
        </w:rPr>
        <w:t xml:space="preserve">                                                                                               </w:t>
      </w:r>
      <w:r w:rsidRPr="00344365">
        <w:rPr>
          <w:b/>
          <w:bCs/>
        </w:rPr>
        <w:t>Obr. 1</w:t>
      </w:r>
    </w:p>
    <w:p w:rsidR="00CD2E87" w:rsidRPr="00344365" w:rsidRDefault="00CD2E87" w:rsidP="00CD2E87">
      <w:pPr>
        <w:contextualSpacing/>
        <w:jc w:val="center"/>
        <w:rPr>
          <w:b/>
          <w:bCs/>
        </w:rPr>
      </w:pPr>
      <w:r>
        <w:rPr>
          <w:b/>
          <w:noProof/>
          <w:lang w:eastAsia="sk-SK"/>
        </w:rPr>
        <w:drawing>
          <wp:inline distT="0" distB="0" distL="0" distR="0">
            <wp:extent cx="3686608" cy="2480281"/>
            <wp:effectExtent l="19050" t="0" r="28142" b="0"/>
            <wp:docPr id="120" name="Graf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D2E87" w:rsidRPr="00344365" w:rsidRDefault="00CD2E87" w:rsidP="00CD2E87">
      <w:pPr>
        <w:contextualSpacing/>
        <w:rPr>
          <w:b/>
          <w:bCs/>
        </w:rPr>
      </w:pPr>
      <w:r>
        <w:rPr>
          <w:bCs/>
        </w:rPr>
        <w:t xml:space="preserve">                       </w:t>
      </w:r>
      <w:r w:rsidRPr="00344365">
        <w:rPr>
          <w:bCs/>
        </w:rPr>
        <w:t>Zdroj: ŠÚ SR</w:t>
      </w:r>
      <w:r>
        <w:rPr>
          <w:bCs/>
        </w:rPr>
        <w:t xml:space="preserve"> + vlastné spracovanie</w:t>
      </w:r>
    </w:p>
    <w:p w:rsidR="008A19EF" w:rsidRDefault="00CD2E87" w:rsidP="008C1B7E">
      <w:pPr>
        <w:spacing w:line="240" w:lineRule="auto"/>
        <w:contextualSpacing/>
        <w:rPr>
          <w:b/>
          <w:bCs/>
        </w:rPr>
      </w:pPr>
      <w:r w:rsidRPr="00344365">
        <w:rPr>
          <w:b/>
          <w:bCs/>
        </w:rPr>
        <w:t xml:space="preserve">                                                                                    </w:t>
      </w:r>
      <w:r w:rsidR="008C1B7E">
        <w:rPr>
          <w:b/>
          <w:bCs/>
        </w:rPr>
        <w:t xml:space="preserve">                      </w:t>
      </w:r>
      <w:r w:rsidRPr="00344365">
        <w:rPr>
          <w:b/>
          <w:bCs/>
        </w:rPr>
        <w:t xml:space="preserve">  </w:t>
      </w:r>
    </w:p>
    <w:p w:rsidR="008A19EF" w:rsidRDefault="008A19EF" w:rsidP="008C1B7E">
      <w:pPr>
        <w:spacing w:line="240" w:lineRule="auto"/>
        <w:contextualSpacing/>
        <w:rPr>
          <w:b/>
          <w:bCs/>
        </w:rPr>
      </w:pPr>
    </w:p>
    <w:p w:rsidR="008A19EF" w:rsidRDefault="008A19EF" w:rsidP="008C1B7E">
      <w:pPr>
        <w:spacing w:line="240" w:lineRule="auto"/>
        <w:contextualSpacing/>
        <w:rPr>
          <w:b/>
          <w:bCs/>
        </w:rPr>
      </w:pPr>
    </w:p>
    <w:p w:rsidR="00CD2E87" w:rsidRPr="00344365" w:rsidRDefault="008A19EF" w:rsidP="008A19EF">
      <w:pPr>
        <w:contextualSpacing/>
        <w:rPr>
          <w:b/>
          <w:bCs/>
        </w:rPr>
      </w:pPr>
      <w:r>
        <w:rPr>
          <w:b/>
          <w:bCs/>
        </w:rPr>
        <w:lastRenderedPageBreak/>
        <w:t xml:space="preserve">                                                                                                            </w:t>
      </w:r>
      <w:r w:rsidR="00CD2E87" w:rsidRPr="00344365">
        <w:rPr>
          <w:b/>
          <w:bCs/>
        </w:rPr>
        <w:t>Obr. 2</w:t>
      </w:r>
    </w:p>
    <w:p w:rsidR="00CD2E87" w:rsidRPr="00344365" w:rsidRDefault="00CD2E87" w:rsidP="008A19EF">
      <w:pPr>
        <w:contextualSpacing/>
        <w:jc w:val="center"/>
        <w:rPr>
          <w:b/>
          <w:bCs/>
        </w:rPr>
      </w:pPr>
      <w:r>
        <w:rPr>
          <w:b/>
          <w:noProof/>
          <w:lang w:eastAsia="sk-SK"/>
        </w:rPr>
        <w:drawing>
          <wp:inline distT="0" distB="0" distL="0" distR="0">
            <wp:extent cx="3685800" cy="2477678"/>
            <wp:effectExtent l="11511" t="5807" r="7914" b="2540"/>
            <wp:docPr id="121" name="Graf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C1B7E" w:rsidRDefault="008C1B7E" w:rsidP="008A19EF">
      <w:pPr>
        <w:contextualSpacing/>
        <w:rPr>
          <w:bCs/>
        </w:rPr>
      </w:pPr>
      <w:r>
        <w:rPr>
          <w:bCs/>
        </w:rPr>
        <w:t xml:space="preserve">                       </w:t>
      </w:r>
      <w:r w:rsidRPr="00344365">
        <w:rPr>
          <w:bCs/>
        </w:rPr>
        <w:t>Zdroj: ŠÚ SR</w:t>
      </w:r>
      <w:r>
        <w:rPr>
          <w:bCs/>
        </w:rPr>
        <w:t xml:space="preserve"> + vlastné spracovanie</w:t>
      </w:r>
    </w:p>
    <w:p w:rsidR="00CD2E87" w:rsidRPr="00344365" w:rsidRDefault="00CD2E87" w:rsidP="00CD2E87">
      <w:pPr>
        <w:contextualSpacing/>
        <w:rPr>
          <w:b/>
          <w:bCs/>
        </w:rPr>
      </w:pPr>
    </w:p>
    <w:p w:rsidR="00CD2E87" w:rsidRPr="009D56AF" w:rsidRDefault="00CD2E87" w:rsidP="00CD2E87">
      <w:pPr>
        <w:ind w:firstLine="708"/>
        <w:contextualSpacing/>
        <w:rPr>
          <w:bCs/>
        </w:rPr>
      </w:pPr>
      <w:r>
        <w:rPr>
          <w:bCs/>
        </w:rPr>
        <w:t xml:space="preserve">V rámci ekonomických činností sústredili živnostníci svoju pozornosť do rôznych oblastí. Ich vývoj mal za nami sledované obdobie 2004 - 2008 prevažne kolísavý charakter, avšak niektoré ekonomické činnosti (ako pôdohospodárstvo a rybolov, priemysel, stavebníctvo, finančné sprostredkovanie, zdravotníctvo a sociálna pomoc) nadobúdali aj rastúcu tendenciu. Pozornosť živnostníkov bola sústredená najmä do oblasti obchodu, stavebníctva a priemyslu, naopak najmenej sa venovali oblasti zdravotníctva a sociálnej pomoci, finančnému sprostredkovaniu a školstvu. I keď najvyšší počet živnostníkov bol v celom sledovanom období evidovaný v oblasti obchodu, svoj vrchol s počtom 118 692 živnostníkov dosahoval len v roku 2006. Naopak najmenej sa živnostníci venovali oblasti zdravotníctva a sociálnej pomoci, avšak táto oblasť vykazovala z roka na rok krivku rastu, čo je </w:t>
      </w:r>
      <w:r w:rsidRPr="009D56AF">
        <w:rPr>
          <w:bCs/>
        </w:rPr>
        <w:t xml:space="preserve">zrejmé z tabuľky 2.   </w:t>
      </w:r>
    </w:p>
    <w:p w:rsidR="008C1B7E" w:rsidRDefault="00CD2E87" w:rsidP="00CD2E87">
      <w:pPr>
        <w:contextualSpacing/>
        <w:rPr>
          <w:bCs/>
        </w:rPr>
      </w:pPr>
      <w:r w:rsidRPr="009D56AF">
        <w:rPr>
          <w:bCs/>
        </w:rPr>
        <w:t xml:space="preserve"> </w:t>
      </w:r>
    </w:p>
    <w:p w:rsidR="008C1B7E" w:rsidRDefault="008C1B7E" w:rsidP="00CD2E87">
      <w:pPr>
        <w:contextualSpacing/>
        <w:rPr>
          <w:bCs/>
        </w:rPr>
      </w:pPr>
    </w:p>
    <w:p w:rsidR="008C1B7E" w:rsidRDefault="008C1B7E" w:rsidP="00CD2E87">
      <w:pPr>
        <w:contextualSpacing/>
        <w:rPr>
          <w:bCs/>
        </w:rPr>
      </w:pPr>
    </w:p>
    <w:p w:rsidR="008C1B7E" w:rsidRDefault="008C1B7E" w:rsidP="00CD2E87">
      <w:pPr>
        <w:contextualSpacing/>
        <w:rPr>
          <w:bCs/>
        </w:rPr>
      </w:pPr>
    </w:p>
    <w:p w:rsidR="008C1B7E" w:rsidRDefault="008C1B7E" w:rsidP="00CD2E87">
      <w:pPr>
        <w:contextualSpacing/>
        <w:rPr>
          <w:bCs/>
        </w:rPr>
      </w:pPr>
    </w:p>
    <w:p w:rsidR="008C1B7E" w:rsidRDefault="008C1B7E" w:rsidP="00CD2E87">
      <w:pPr>
        <w:contextualSpacing/>
        <w:rPr>
          <w:bCs/>
        </w:rPr>
      </w:pPr>
    </w:p>
    <w:p w:rsidR="008C1B7E" w:rsidRDefault="008C1B7E" w:rsidP="00CD2E87">
      <w:pPr>
        <w:contextualSpacing/>
        <w:rPr>
          <w:bCs/>
        </w:rPr>
      </w:pPr>
    </w:p>
    <w:p w:rsidR="00AB041C" w:rsidRDefault="00AB041C" w:rsidP="00CD2E87">
      <w:pPr>
        <w:contextualSpacing/>
        <w:rPr>
          <w:bCs/>
        </w:rPr>
      </w:pPr>
    </w:p>
    <w:p w:rsidR="00CD2E87" w:rsidRPr="009D56AF" w:rsidRDefault="00CD2E87" w:rsidP="00CD2E87">
      <w:pPr>
        <w:contextualSpacing/>
        <w:rPr>
          <w:bCs/>
        </w:rPr>
      </w:pPr>
      <w:r w:rsidRPr="009D56AF">
        <w:rPr>
          <w:bCs/>
        </w:rPr>
        <w:t xml:space="preserve"> </w:t>
      </w:r>
      <w:r w:rsidRPr="009D56AF">
        <w:rPr>
          <w:color w:val="000000"/>
        </w:rPr>
        <w:t xml:space="preserve"> </w:t>
      </w:r>
    </w:p>
    <w:p w:rsidR="00CD2E87" w:rsidRPr="009D56AF" w:rsidRDefault="00CD2E87" w:rsidP="008A19EF">
      <w:pPr>
        <w:contextualSpacing/>
        <w:jc w:val="left"/>
        <w:rPr>
          <w:b/>
          <w:bCs/>
        </w:rPr>
      </w:pPr>
      <w:r w:rsidRPr="009D56AF">
        <w:rPr>
          <w:b/>
          <w:bCs/>
        </w:rPr>
        <w:lastRenderedPageBreak/>
        <w:t xml:space="preserve">Živnostníci podľa vybraných druhov ekonomických činností na území SR         v sledovanom období 2004 - 2008                              </w:t>
      </w:r>
    </w:p>
    <w:p w:rsidR="00CD2E87" w:rsidRPr="00344365" w:rsidRDefault="00CD2E87" w:rsidP="00A30D85">
      <w:pPr>
        <w:spacing w:line="240" w:lineRule="auto"/>
        <w:contextualSpacing/>
        <w:jc w:val="right"/>
        <w:rPr>
          <w:b/>
          <w:bCs/>
        </w:rPr>
      </w:pPr>
      <w:r>
        <w:rPr>
          <w:b/>
          <w:bCs/>
        </w:rPr>
        <w:t xml:space="preserve">                                                                                                            </w:t>
      </w:r>
      <w:r w:rsidR="003C3829">
        <w:rPr>
          <w:b/>
          <w:bCs/>
        </w:rPr>
        <w:t xml:space="preserve">   </w:t>
      </w:r>
      <w:r>
        <w:rPr>
          <w:b/>
          <w:bCs/>
        </w:rPr>
        <w:t xml:space="preserve">          </w:t>
      </w:r>
      <w:r w:rsidR="006B1F71">
        <w:rPr>
          <w:b/>
          <w:bCs/>
        </w:rPr>
        <w:t xml:space="preserve">  </w:t>
      </w:r>
      <w:r w:rsidRPr="00344365">
        <w:rPr>
          <w:b/>
          <w:bCs/>
        </w:rPr>
        <w:t xml:space="preserve">Tabuľka </w:t>
      </w:r>
      <w:r>
        <w:rPr>
          <w:b/>
          <w:bCs/>
        </w:rPr>
        <w:t>2</w:t>
      </w:r>
    </w:p>
    <w:tbl>
      <w:tblPr>
        <w:tblW w:w="8402" w:type="dxa"/>
        <w:jc w:val="center"/>
        <w:tblLayout w:type="fixed"/>
        <w:tblCellMar>
          <w:left w:w="70" w:type="dxa"/>
          <w:right w:w="70" w:type="dxa"/>
        </w:tblCellMar>
        <w:tblLook w:val="04A0"/>
      </w:tblPr>
      <w:tblGrid>
        <w:gridCol w:w="2850"/>
        <w:gridCol w:w="1110"/>
        <w:gridCol w:w="1111"/>
        <w:gridCol w:w="1110"/>
        <w:gridCol w:w="1111"/>
        <w:gridCol w:w="1110"/>
      </w:tblGrid>
      <w:tr w:rsidR="00CD2E87" w:rsidRPr="00344365" w:rsidTr="003C3829">
        <w:trPr>
          <w:trHeight w:val="300"/>
          <w:jc w:val="center"/>
        </w:trPr>
        <w:tc>
          <w:tcPr>
            <w:tcW w:w="2850" w:type="dxa"/>
            <w:tcBorders>
              <w:top w:val="single" w:sz="18" w:space="0" w:color="auto"/>
              <w:left w:val="single" w:sz="18" w:space="0" w:color="auto"/>
              <w:bottom w:val="single" w:sz="18" w:space="0" w:color="auto"/>
              <w:right w:val="single" w:sz="4" w:space="0" w:color="auto"/>
            </w:tcBorders>
            <w:shd w:val="clear" w:color="auto" w:fill="auto"/>
            <w:noWrap/>
            <w:vAlign w:val="center"/>
            <w:hideMark/>
          </w:tcPr>
          <w:p w:rsidR="00CD2E87" w:rsidRPr="008A19EF" w:rsidRDefault="00CD2E87" w:rsidP="008C1B7E">
            <w:pPr>
              <w:spacing w:line="240" w:lineRule="auto"/>
              <w:contextualSpacing/>
              <w:jc w:val="center"/>
              <w:rPr>
                <w:b/>
                <w:color w:val="000000"/>
                <w:sz w:val="20"/>
                <w:szCs w:val="20"/>
              </w:rPr>
            </w:pPr>
          </w:p>
        </w:tc>
        <w:tc>
          <w:tcPr>
            <w:tcW w:w="1110" w:type="dxa"/>
            <w:tcBorders>
              <w:top w:val="single" w:sz="18" w:space="0" w:color="auto"/>
              <w:left w:val="nil"/>
              <w:bottom w:val="single" w:sz="18" w:space="0" w:color="auto"/>
              <w:right w:val="single" w:sz="4" w:space="0" w:color="auto"/>
            </w:tcBorders>
            <w:shd w:val="clear" w:color="auto" w:fill="auto"/>
            <w:noWrap/>
            <w:vAlign w:val="center"/>
            <w:hideMark/>
          </w:tcPr>
          <w:p w:rsidR="00CD2E87" w:rsidRPr="008A19EF" w:rsidRDefault="00CD2E87" w:rsidP="008C1B7E">
            <w:pPr>
              <w:spacing w:line="240" w:lineRule="auto"/>
              <w:contextualSpacing/>
              <w:jc w:val="center"/>
              <w:rPr>
                <w:b/>
                <w:color w:val="000000"/>
                <w:sz w:val="20"/>
                <w:szCs w:val="20"/>
              </w:rPr>
            </w:pPr>
            <w:r w:rsidRPr="008A19EF">
              <w:rPr>
                <w:b/>
                <w:color w:val="000000"/>
                <w:sz w:val="20"/>
                <w:szCs w:val="20"/>
              </w:rPr>
              <w:t>2004</w:t>
            </w:r>
          </w:p>
        </w:tc>
        <w:tc>
          <w:tcPr>
            <w:tcW w:w="1111" w:type="dxa"/>
            <w:tcBorders>
              <w:top w:val="single" w:sz="18" w:space="0" w:color="auto"/>
              <w:left w:val="single" w:sz="4" w:space="0" w:color="auto"/>
              <w:bottom w:val="single" w:sz="18" w:space="0" w:color="auto"/>
              <w:right w:val="single" w:sz="4" w:space="0" w:color="auto"/>
            </w:tcBorders>
            <w:shd w:val="clear" w:color="auto" w:fill="auto"/>
            <w:noWrap/>
            <w:vAlign w:val="center"/>
            <w:hideMark/>
          </w:tcPr>
          <w:p w:rsidR="00CD2E87" w:rsidRPr="008A19EF" w:rsidRDefault="00CD2E87" w:rsidP="008C1B7E">
            <w:pPr>
              <w:spacing w:line="240" w:lineRule="auto"/>
              <w:contextualSpacing/>
              <w:jc w:val="center"/>
              <w:rPr>
                <w:b/>
                <w:color w:val="000000"/>
                <w:sz w:val="20"/>
                <w:szCs w:val="20"/>
              </w:rPr>
            </w:pPr>
            <w:r w:rsidRPr="008A19EF">
              <w:rPr>
                <w:b/>
                <w:color w:val="000000"/>
                <w:sz w:val="20"/>
                <w:szCs w:val="20"/>
              </w:rPr>
              <w:t>2005</w:t>
            </w:r>
          </w:p>
        </w:tc>
        <w:tc>
          <w:tcPr>
            <w:tcW w:w="1110" w:type="dxa"/>
            <w:tcBorders>
              <w:top w:val="single" w:sz="18" w:space="0" w:color="auto"/>
              <w:left w:val="nil"/>
              <w:bottom w:val="single" w:sz="18" w:space="0" w:color="auto"/>
              <w:right w:val="single" w:sz="4" w:space="0" w:color="auto"/>
            </w:tcBorders>
            <w:shd w:val="clear" w:color="auto" w:fill="auto"/>
            <w:noWrap/>
            <w:vAlign w:val="center"/>
            <w:hideMark/>
          </w:tcPr>
          <w:p w:rsidR="00CD2E87" w:rsidRPr="008A19EF" w:rsidRDefault="00CD2E87" w:rsidP="008C1B7E">
            <w:pPr>
              <w:spacing w:line="240" w:lineRule="auto"/>
              <w:contextualSpacing/>
              <w:jc w:val="center"/>
              <w:rPr>
                <w:b/>
                <w:color w:val="000000"/>
                <w:sz w:val="20"/>
                <w:szCs w:val="20"/>
              </w:rPr>
            </w:pPr>
            <w:r w:rsidRPr="008A19EF">
              <w:rPr>
                <w:b/>
                <w:color w:val="000000"/>
                <w:sz w:val="20"/>
                <w:szCs w:val="20"/>
              </w:rPr>
              <w:t>2006</w:t>
            </w:r>
          </w:p>
        </w:tc>
        <w:tc>
          <w:tcPr>
            <w:tcW w:w="1111" w:type="dxa"/>
            <w:tcBorders>
              <w:top w:val="single" w:sz="18" w:space="0" w:color="auto"/>
              <w:left w:val="nil"/>
              <w:bottom w:val="single" w:sz="18" w:space="0" w:color="auto"/>
              <w:right w:val="single" w:sz="4" w:space="0" w:color="auto"/>
            </w:tcBorders>
            <w:shd w:val="clear" w:color="auto" w:fill="auto"/>
            <w:noWrap/>
            <w:vAlign w:val="center"/>
            <w:hideMark/>
          </w:tcPr>
          <w:p w:rsidR="00CD2E87" w:rsidRPr="008A19EF" w:rsidRDefault="00CD2E87" w:rsidP="008C1B7E">
            <w:pPr>
              <w:spacing w:line="240" w:lineRule="auto"/>
              <w:contextualSpacing/>
              <w:jc w:val="center"/>
              <w:rPr>
                <w:b/>
                <w:color w:val="000000"/>
                <w:sz w:val="20"/>
                <w:szCs w:val="20"/>
              </w:rPr>
            </w:pPr>
            <w:r w:rsidRPr="008A19EF">
              <w:rPr>
                <w:b/>
                <w:color w:val="000000"/>
                <w:sz w:val="20"/>
                <w:szCs w:val="20"/>
              </w:rPr>
              <w:t>2007</w:t>
            </w:r>
          </w:p>
        </w:tc>
        <w:tc>
          <w:tcPr>
            <w:tcW w:w="1110" w:type="dxa"/>
            <w:tcBorders>
              <w:top w:val="single" w:sz="18" w:space="0" w:color="auto"/>
              <w:left w:val="nil"/>
              <w:bottom w:val="single" w:sz="18" w:space="0" w:color="auto"/>
              <w:right w:val="single" w:sz="18" w:space="0" w:color="auto"/>
            </w:tcBorders>
            <w:shd w:val="clear" w:color="auto" w:fill="auto"/>
            <w:noWrap/>
            <w:vAlign w:val="center"/>
            <w:hideMark/>
          </w:tcPr>
          <w:p w:rsidR="00CD2E87" w:rsidRPr="008A19EF" w:rsidRDefault="00CD2E87" w:rsidP="008C1B7E">
            <w:pPr>
              <w:spacing w:line="240" w:lineRule="auto"/>
              <w:contextualSpacing/>
              <w:jc w:val="center"/>
              <w:rPr>
                <w:b/>
                <w:color w:val="000000"/>
                <w:sz w:val="20"/>
                <w:szCs w:val="20"/>
              </w:rPr>
            </w:pPr>
            <w:r w:rsidRPr="008A19EF">
              <w:rPr>
                <w:b/>
                <w:color w:val="000000"/>
                <w:sz w:val="20"/>
                <w:szCs w:val="20"/>
              </w:rPr>
              <w:t>2008</w:t>
            </w:r>
          </w:p>
        </w:tc>
      </w:tr>
      <w:tr w:rsidR="00CD2E87" w:rsidRPr="00344365" w:rsidTr="003C3829">
        <w:trPr>
          <w:trHeight w:val="300"/>
          <w:jc w:val="center"/>
        </w:trPr>
        <w:tc>
          <w:tcPr>
            <w:tcW w:w="2850" w:type="dxa"/>
            <w:tcBorders>
              <w:top w:val="single" w:sz="18" w:space="0" w:color="auto"/>
              <w:left w:val="single" w:sz="18" w:space="0" w:color="auto"/>
              <w:bottom w:val="single" w:sz="4" w:space="0" w:color="auto"/>
              <w:right w:val="single" w:sz="4" w:space="0" w:color="auto"/>
            </w:tcBorders>
            <w:shd w:val="clear" w:color="auto" w:fill="auto"/>
            <w:noWrap/>
            <w:vAlign w:val="center"/>
            <w:hideMark/>
          </w:tcPr>
          <w:p w:rsidR="00CD2E87" w:rsidRPr="008A19EF" w:rsidRDefault="00CD2E87" w:rsidP="008C1B7E">
            <w:pPr>
              <w:spacing w:line="240" w:lineRule="auto"/>
              <w:contextualSpacing/>
              <w:jc w:val="left"/>
              <w:rPr>
                <w:color w:val="000000"/>
                <w:sz w:val="20"/>
                <w:szCs w:val="20"/>
              </w:rPr>
            </w:pPr>
            <w:r w:rsidRPr="008A19EF">
              <w:rPr>
                <w:b/>
                <w:color w:val="000000"/>
                <w:sz w:val="20"/>
                <w:szCs w:val="20"/>
              </w:rPr>
              <w:t>Pôdohospodárstvo, rybolov</w:t>
            </w:r>
          </w:p>
        </w:tc>
        <w:tc>
          <w:tcPr>
            <w:tcW w:w="1110" w:type="dxa"/>
            <w:tcBorders>
              <w:top w:val="single" w:sz="18" w:space="0" w:color="auto"/>
              <w:left w:val="nil"/>
              <w:bottom w:val="single" w:sz="4" w:space="0" w:color="auto"/>
              <w:right w:val="single" w:sz="4" w:space="0" w:color="auto"/>
            </w:tcBorders>
            <w:shd w:val="clear" w:color="auto" w:fill="auto"/>
            <w:noWrap/>
            <w:vAlign w:val="center"/>
            <w:hideMark/>
          </w:tcPr>
          <w:p w:rsidR="00CD2E87" w:rsidRPr="008A19EF" w:rsidRDefault="00CD2E87" w:rsidP="008C1B7E">
            <w:pPr>
              <w:spacing w:line="240" w:lineRule="auto"/>
              <w:contextualSpacing/>
              <w:jc w:val="right"/>
              <w:rPr>
                <w:color w:val="000000"/>
                <w:sz w:val="20"/>
                <w:szCs w:val="20"/>
              </w:rPr>
            </w:pPr>
            <w:r w:rsidRPr="008A19EF">
              <w:rPr>
                <w:color w:val="000000"/>
                <w:sz w:val="20"/>
                <w:szCs w:val="20"/>
              </w:rPr>
              <w:t>7212</w:t>
            </w:r>
          </w:p>
        </w:tc>
        <w:tc>
          <w:tcPr>
            <w:tcW w:w="1111" w:type="dxa"/>
            <w:tcBorders>
              <w:top w:val="single" w:sz="18" w:space="0" w:color="auto"/>
              <w:left w:val="single" w:sz="4" w:space="0" w:color="auto"/>
              <w:bottom w:val="single" w:sz="4" w:space="0" w:color="auto"/>
              <w:right w:val="single" w:sz="4" w:space="0" w:color="auto"/>
            </w:tcBorders>
            <w:shd w:val="clear" w:color="auto" w:fill="auto"/>
            <w:noWrap/>
            <w:vAlign w:val="center"/>
            <w:hideMark/>
          </w:tcPr>
          <w:p w:rsidR="00CD2E87" w:rsidRPr="008A19EF" w:rsidRDefault="00CD2E87" w:rsidP="008C1B7E">
            <w:pPr>
              <w:spacing w:line="240" w:lineRule="auto"/>
              <w:contextualSpacing/>
              <w:jc w:val="right"/>
              <w:rPr>
                <w:color w:val="000000"/>
                <w:sz w:val="20"/>
                <w:szCs w:val="20"/>
              </w:rPr>
            </w:pPr>
            <w:r w:rsidRPr="008A19EF">
              <w:rPr>
                <w:color w:val="000000"/>
                <w:sz w:val="20"/>
                <w:szCs w:val="20"/>
              </w:rPr>
              <w:t>8556</w:t>
            </w:r>
          </w:p>
        </w:tc>
        <w:tc>
          <w:tcPr>
            <w:tcW w:w="1110" w:type="dxa"/>
            <w:tcBorders>
              <w:top w:val="single" w:sz="18" w:space="0" w:color="auto"/>
              <w:left w:val="nil"/>
              <w:bottom w:val="single" w:sz="4" w:space="0" w:color="auto"/>
              <w:right w:val="single" w:sz="4" w:space="0" w:color="auto"/>
            </w:tcBorders>
            <w:shd w:val="clear" w:color="auto" w:fill="auto"/>
            <w:noWrap/>
            <w:vAlign w:val="center"/>
            <w:hideMark/>
          </w:tcPr>
          <w:p w:rsidR="00CD2E87" w:rsidRPr="008A19EF" w:rsidRDefault="00CD2E87" w:rsidP="008C1B7E">
            <w:pPr>
              <w:spacing w:line="240" w:lineRule="auto"/>
              <w:contextualSpacing/>
              <w:jc w:val="right"/>
              <w:rPr>
                <w:color w:val="000000"/>
                <w:sz w:val="20"/>
                <w:szCs w:val="20"/>
              </w:rPr>
            </w:pPr>
            <w:r w:rsidRPr="008A19EF">
              <w:rPr>
                <w:color w:val="000000"/>
                <w:sz w:val="20"/>
                <w:szCs w:val="20"/>
              </w:rPr>
              <w:t>11935</w:t>
            </w:r>
          </w:p>
        </w:tc>
        <w:tc>
          <w:tcPr>
            <w:tcW w:w="1111" w:type="dxa"/>
            <w:tcBorders>
              <w:top w:val="single" w:sz="18" w:space="0" w:color="auto"/>
              <w:left w:val="nil"/>
              <w:bottom w:val="single" w:sz="4" w:space="0" w:color="auto"/>
              <w:right w:val="single" w:sz="4" w:space="0" w:color="auto"/>
            </w:tcBorders>
            <w:shd w:val="clear" w:color="auto" w:fill="auto"/>
            <w:noWrap/>
            <w:vAlign w:val="center"/>
            <w:hideMark/>
          </w:tcPr>
          <w:p w:rsidR="00CD2E87" w:rsidRPr="008A19EF" w:rsidRDefault="00CD2E87" w:rsidP="008C1B7E">
            <w:pPr>
              <w:spacing w:line="240" w:lineRule="auto"/>
              <w:contextualSpacing/>
              <w:jc w:val="right"/>
              <w:rPr>
                <w:color w:val="000000"/>
                <w:sz w:val="20"/>
                <w:szCs w:val="20"/>
              </w:rPr>
            </w:pPr>
            <w:r w:rsidRPr="008A19EF">
              <w:rPr>
                <w:color w:val="000000"/>
                <w:sz w:val="20"/>
                <w:szCs w:val="20"/>
              </w:rPr>
              <w:t>13684</w:t>
            </w:r>
          </w:p>
        </w:tc>
        <w:tc>
          <w:tcPr>
            <w:tcW w:w="1110" w:type="dxa"/>
            <w:tcBorders>
              <w:top w:val="single" w:sz="18" w:space="0" w:color="auto"/>
              <w:left w:val="nil"/>
              <w:bottom w:val="single" w:sz="4" w:space="0" w:color="auto"/>
              <w:right w:val="single" w:sz="18" w:space="0" w:color="auto"/>
            </w:tcBorders>
            <w:shd w:val="clear" w:color="auto" w:fill="auto"/>
            <w:noWrap/>
            <w:vAlign w:val="center"/>
            <w:hideMark/>
          </w:tcPr>
          <w:p w:rsidR="00CD2E87" w:rsidRPr="008A19EF" w:rsidRDefault="00CD2E87" w:rsidP="008C1B7E">
            <w:pPr>
              <w:spacing w:line="240" w:lineRule="auto"/>
              <w:contextualSpacing/>
              <w:jc w:val="right"/>
              <w:rPr>
                <w:color w:val="000000"/>
                <w:sz w:val="20"/>
                <w:szCs w:val="20"/>
              </w:rPr>
            </w:pPr>
            <w:r w:rsidRPr="008A19EF">
              <w:rPr>
                <w:color w:val="000000"/>
                <w:sz w:val="20"/>
                <w:szCs w:val="20"/>
              </w:rPr>
              <w:t>14250</w:t>
            </w:r>
          </w:p>
        </w:tc>
      </w:tr>
      <w:tr w:rsidR="00CD2E87" w:rsidRPr="00344365" w:rsidTr="003C3829">
        <w:trPr>
          <w:trHeight w:val="300"/>
          <w:jc w:val="center"/>
        </w:trPr>
        <w:tc>
          <w:tcPr>
            <w:tcW w:w="285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rsidR="00CD2E87" w:rsidRPr="008A19EF" w:rsidRDefault="00CD2E87" w:rsidP="008C1B7E">
            <w:pPr>
              <w:spacing w:line="240" w:lineRule="auto"/>
              <w:contextualSpacing/>
              <w:jc w:val="left"/>
              <w:rPr>
                <w:b/>
                <w:color w:val="000000"/>
                <w:sz w:val="20"/>
                <w:szCs w:val="20"/>
              </w:rPr>
            </w:pPr>
            <w:r w:rsidRPr="008A19EF">
              <w:rPr>
                <w:b/>
                <w:color w:val="000000"/>
                <w:sz w:val="20"/>
                <w:szCs w:val="20"/>
              </w:rPr>
              <w:t>Priemysel</w:t>
            </w:r>
          </w:p>
        </w:tc>
        <w:tc>
          <w:tcPr>
            <w:tcW w:w="1110" w:type="dxa"/>
            <w:tcBorders>
              <w:top w:val="single" w:sz="4" w:space="0" w:color="auto"/>
              <w:left w:val="nil"/>
              <w:bottom w:val="single" w:sz="4" w:space="0" w:color="auto"/>
              <w:right w:val="single" w:sz="4" w:space="0" w:color="auto"/>
            </w:tcBorders>
            <w:shd w:val="clear" w:color="auto" w:fill="auto"/>
            <w:noWrap/>
            <w:vAlign w:val="center"/>
            <w:hideMark/>
          </w:tcPr>
          <w:p w:rsidR="00CD2E87" w:rsidRPr="008A19EF" w:rsidRDefault="00CD2E87" w:rsidP="008C1B7E">
            <w:pPr>
              <w:spacing w:line="240" w:lineRule="auto"/>
              <w:contextualSpacing/>
              <w:jc w:val="right"/>
              <w:rPr>
                <w:color w:val="000000"/>
                <w:sz w:val="20"/>
                <w:szCs w:val="20"/>
              </w:rPr>
            </w:pPr>
            <w:r w:rsidRPr="008A19EF">
              <w:rPr>
                <w:color w:val="000000"/>
                <w:sz w:val="20"/>
                <w:szCs w:val="20"/>
              </w:rPr>
              <w:t>57208</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2E87" w:rsidRPr="008A19EF" w:rsidRDefault="00CD2E87" w:rsidP="008C1B7E">
            <w:pPr>
              <w:spacing w:line="240" w:lineRule="auto"/>
              <w:contextualSpacing/>
              <w:jc w:val="right"/>
              <w:rPr>
                <w:color w:val="000000"/>
                <w:sz w:val="20"/>
                <w:szCs w:val="20"/>
              </w:rPr>
            </w:pPr>
            <w:r w:rsidRPr="008A19EF">
              <w:rPr>
                <w:color w:val="000000"/>
                <w:sz w:val="20"/>
                <w:szCs w:val="20"/>
              </w:rPr>
              <w:t>58645</w:t>
            </w:r>
          </w:p>
        </w:tc>
        <w:tc>
          <w:tcPr>
            <w:tcW w:w="1110" w:type="dxa"/>
            <w:tcBorders>
              <w:top w:val="single" w:sz="4" w:space="0" w:color="auto"/>
              <w:left w:val="nil"/>
              <w:bottom w:val="single" w:sz="4" w:space="0" w:color="auto"/>
              <w:right w:val="single" w:sz="4" w:space="0" w:color="auto"/>
            </w:tcBorders>
            <w:shd w:val="clear" w:color="auto" w:fill="auto"/>
            <w:noWrap/>
            <w:vAlign w:val="center"/>
            <w:hideMark/>
          </w:tcPr>
          <w:p w:rsidR="00CD2E87" w:rsidRPr="008A19EF" w:rsidRDefault="00CD2E87" w:rsidP="008C1B7E">
            <w:pPr>
              <w:spacing w:line="240" w:lineRule="auto"/>
              <w:contextualSpacing/>
              <w:jc w:val="right"/>
              <w:rPr>
                <w:color w:val="000000"/>
                <w:sz w:val="20"/>
                <w:szCs w:val="20"/>
              </w:rPr>
            </w:pPr>
            <w:r w:rsidRPr="008A19EF">
              <w:rPr>
                <w:color w:val="000000"/>
                <w:sz w:val="20"/>
                <w:szCs w:val="20"/>
              </w:rPr>
              <w:t>69217</w:t>
            </w:r>
          </w:p>
        </w:tc>
        <w:tc>
          <w:tcPr>
            <w:tcW w:w="1111" w:type="dxa"/>
            <w:tcBorders>
              <w:top w:val="single" w:sz="4" w:space="0" w:color="auto"/>
              <w:left w:val="nil"/>
              <w:bottom w:val="single" w:sz="4" w:space="0" w:color="auto"/>
              <w:right w:val="single" w:sz="4" w:space="0" w:color="auto"/>
            </w:tcBorders>
            <w:shd w:val="clear" w:color="auto" w:fill="auto"/>
            <w:noWrap/>
            <w:vAlign w:val="center"/>
            <w:hideMark/>
          </w:tcPr>
          <w:p w:rsidR="00CD2E87" w:rsidRPr="008A19EF" w:rsidRDefault="00CD2E87" w:rsidP="008C1B7E">
            <w:pPr>
              <w:spacing w:line="240" w:lineRule="auto"/>
              <w:contextualSpacing/>
              <w:jc w:val="right"/>
              <w:rPr>
                <w:color w:val="000000"/>
                <w:sz w:val="20"/>
                <w:szCs w:val="20"/>
              </w:rPr>
            </w:pPr>
            <w:r w:rsidRPr="008A19EF">
              <w:rPr>
                <w:color w:val="000000"/>
                <w:sz w:val="20"/>
                <w:szCs w:val="20"/>
              </w:rPr>
              <w:t>73109</w:t>
            </w:r>
          </w:p>
        </w:tc>
        <w:tc>
          <w:tcPr>
            <w:tcW w:w="1110" w:type="dxa"/>
            <w:tcBorders>
              <w:top w:val="single" w:sz="4" w:space="0" w:color="auto"/>
              <w:left w:val="nil"/>
              <w:bottom w:val="single" w:sz="4" w:space="0" w:color="auto"/>
              <w:right w:val="single" w:sz="18" w:space="0" w:color="auto"/>
            </w:tcBorders>
            <w:shd w:val="clear" w:color="auto" w:fill="auto"/>
            <w:noWrap/>
            <w:vAlign w:val="center"/>
            <w:hideMark/>
          </w:tcPr>
          <w:p w:rsidR="00CD2E87" w:rsidRPr="008A19EF" w:rsidRDefault="00CD2E87" w:rsidP="008C1B7E">
            <w:pPr>
              <w:spacing w:line="240" w:lineRule="auto"/>
              <w:contextualSpacing/>
              <w:jc w:val="right"/>
              <w:rPr>
                <w:color w:val="000000"/>
                <w:sz w:val="20"/>
                <w:szCs w:val="20"/>
              </w:rPr>
            </w:pPr>
            <w:r w:rsidRPr="008A19EF">
              <w:rPr>
                <w:color w:val="000000"/>
                <w:sz w:val="20"/>
                <w:szCs w:val="20"/>
              </w:rPr>
              <w:t>76945</w:t>
            </w:r>
          </w:p>
        </w:tc>
      </w:tr>
      <w:tr w:rsidR="00CD2E87" w:rsidRPr="00344365" w:rsidTr="003C3829">
        <w:trPr>
          <w:trHeight w:val="300"/>
          <w:jc w:val="center"/>
        </w:trPr>
        <w:tc>
          <w:tcPr>
            <w:tcW w:w="285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rsidR="00CD2E87" w:rsidRPr="008A19EF" w:rsidRDefault="00CD2E87" w:rsidP="008C1B7E">
            <w:pPr>
              <w:spacing w:line="240" w:lineRule="auto"/>
              <w:contextualSpacing/>
              <w:jc w:val="left"/>
              <w:rPr>
                <w:b/>
                <w:color w:val="000000"/>
                <w:sz w:val="20"/>
                <w:szCs w:val="20"/>
              </w:rPr>
            </w:pPr>
            <w:r w:rsidRPr="008A19EF">
              <w:rPr>
                <w:b/>
                <w:color w:val="000000"/>
                <w:sz w:val="20"/>
                <w:szCs w:val="20"/>
              </w:rPr>
              <w:t>Stavebníctvo</w:t>
            </w:r>
          </w:p>
        </w:tc>
        <w:tc>
          <w:tcPr>
            <w:tcW w:w="1110" w:type="dxa"/>
            <w:tcBorders>
              <w:top w:val="single" w:sz="4" w:space="0" w:color="auto"/>
              <w:left w:val="nil"/>
              <w:bottom w:val="single" w:sz="4" w:space="0" w:color="auto"/>
              <w:right w:val="single" w:sz="4" w:space="0" w:color="auto"/>
            </w:tcBorders>
            <w:shd w:val="clear" w:color="auto" w:fill="auto"/>
            <w:noWrap/>
            <w:vAlign w:val="center"/>
            <w:hideMark/>
          </w:tcPr>
          <w:p w:rsidR="00CD2E87" w:rsidRPr="008A19EF" w:rsidRDefault="00CD2E87" w:rsidP="008C1B7E">
            <w:pPr>
              <w:spacing w:line="240" w:lineRule="auto"/>
              <w:contextualSpacing/>
              <w:jc w:val="right"/>
              <w:rPr>
                <w:color w:val="000000"/>
                <w:sz w:val="20"/>
                <w:szCs w:val="20"/>
              </w:rPr>
            </w:pPr>
            <w:r w:rsidRPr="008A19EF">
              <w:rPr>
                <w:color w:val="000000"/>
                <w:sz w:val="20"/>
                <w:szCs w:val="20"/>
              </w:rPr>
              <w:t>57078</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2E87" w:rsidRPr="008A19EF" w:rsidRDefault="00CD2E87" w:rsidP="008C1B7E">
            <w:pPr>
              <w:spacing w:line="240" w:lineRule="auto"/>
              <w:contextualSpacing/>
              <w:jc w:val="right"/>
              <w:rPr>
                <w:color w:val="000000"/>
                <w:sz w:val="20"/>
                <w:szCs w:val="20"/>
              </w:rPr>
            </w:pPr>
            <w:r w:rsidRPr="008A19EF">
              <w:rPr>
                <w:color w:val="000000"/>
                <w:sz w:val="20"/>
                <w:szCs w:val="20"/>
              </w:rPr>
              <w:t>62436</w:t>
            </w:r>
          </w:p>
        </w:tc>
        <w:tc>
          <w:tcPr>
            <w:tcW w:w="1110" w:type="dxa"/>
            <w:tcBorders>
              <w:top w:val="single" w:sz="4" w:space="0" w:color="auto"/>
              <w:left w:val="nil"/>
              <w:bottom w:val="single" w:sz="4" w:space="0" w:color="auto"/>
              <w:right w:val="single" w:sz="4" w:space="0" w:color="auto"/>
            </w:tcBorders>
            <w:shd w:val="clear" w:color="auto" w:fill="auto"/>
            <w:noWrap/>
            <w:vAlign w:val="center"/>
            <w:hideMark/>
          </w:tcPr>
          <w:p w:rsidR="00CD2E87" w:rsidRPr="008A19EF" w:rsidRDefault="00CD2E87" w:rsidP="008C1B7E">
            <w:pPr>
              <w:spacing w:line="240" w:lineRule="auto"/>
              <w:contextualSpacing/>
              <w:jc w:val="right"/>
              <w:rPr>
                <w:color w:val="000000"/>
                <w:sz w:val="20"/>
                <w:szCs w:val="20"/>
              </w:rPr>
            </w:pPr>
            <w:r w:rsidRPr="008A19EF">
              <w:rPr>
                <w:color w:val="000000"/>
                <w:sz w:val="20"/>
                <w:szCs w:val="20"/>
              </w:rPr>
              <w:t>66757</w:t>
            </w:r>
          </w:p>
        </w:tc>
        <w:tc>
          <w:tcPr>
            <w:tcW w:w="1111" w:type="dxa"/>
            <w:tcBorders>
              <w:top w:val="single" w:sz="4" w:space="0" w:color="auto"/>
              <w:left w:val="nil"/>
              <w:bottom w:val="single" w:sz="4" w:space="0" w:color="auto"/>
              <w:right w:val="single" w:sz="4" w:space="0" w:color="auto"/>
            </w:tcBorders>
            <w:shd w:val="clear" w:color="auto" w:fill="auto"/>
            <w:noWrap/>
            <w:vAlign w:val="center"/>
            <w:hideMark/>
          </w:tcPr>
          <w:p w:rsidR="00CD2E87" w:rsidRPr="008A19EF" w:rsidRDefault="00CD2E87" w:rsidP="008C1B7E">
            <w:pPr>
              <w:spacing w:line="240" w:lineRule="auto"/>
              <w:contextualSpacing/>
              <w:jc w:val="right"/>
              <w:rPr>
                <w:color w:val="000000"/>
                <w:sz w:val="20"/>
                <w:szCs w:val="20"/>
              </w:rPr>
            </w:pPr>
            <w:r w:rsidRPr="008A19EF">
              <w:rPr>
                <w:color w:val="000000"/>
                <w:sz w:val="20"/>
                <w:szCs w:val="20"/>
              </w:rPr>
              <w:t>72401</w:t>
            </w:r>
          </w:p>
        </w:tc>
        <w:tc>
          <w:tcPr>
            <w:tcW w:w="1110" w:type="dxa"/>
            <w:tcBorders>
              <w:top w:val="single" w:sz="4" w:space="0" w:color="auto"/>
              <w:left w:val="nil"/>
              <w:bottom w:val="single" w:sz="4" w:space="0" w:color="auto"/>
              <w:right w:val="single" w:sz="18" w:space="0" w:color="auto"/>
            </w:tcBorders>
            <w:shd w:val="clear" w:color="auto" w:fill="auto"/>
            <w:noWrap/>
            <w:vAlign w:val="center"/>
            <w:hideMark/>
          </w:tcPr>
          <w:p w:rsidR="00CD2E87" w:rsidRPr="008A19EF" w:rsidRDefault="00CD2E87" w:rsidP="008C1B7E">
            <w:pPr>
              <w:spacing w:line="240" w:lineRule="auto"/>
              <w:contextualSpacing/>
              <w:jc w:val="right"/>
              <w:rPr>
                <w:color w:val="000000"/>
                <w:sz w:val="20"/>
                <w:szCs w:val="20"/>
              </w:rPr>
            </w:pPr>
            <w:r w:rsidRPr="008A19EF">
              <w:rPr>
                <w:color w:val="000000"/>
                <w:sz w:val="20"/>
                <w:szCs w:val="20"/>
              </w:rPr>
              <w:t>82489</w:t>
            </w:r>
          </w:p>
        </w:tc>
      </w:tr>
      <w:tr w:rsidR="00CD2E87" w:rsidRPr="00344365" w:rsidTr="003C3829">
        <w:trPr>
          <w:trHeight w:val="300"/>
          <w:jc w:val="center"/>
        </w:trPr>
        <w:tc>
          <w:tcPr>
            <w:tcW w:w="285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rsidR="00CD2E87" w:rsidRPr="008A19EF" w:rsidRDefault="00CD2E87" w:rsidP="008C1B7E">
            <w:pPr>
              <w:spacing w:line="240" w:lineRule="auto"/>
              <w:contextualSpacing/>
              <w:jc w:val="left"/>
              <w:rPr>
                <w:b/>
                <w:color w:val="000000"/>
                <w:sz w:val="20"/>
                <w:szCs w:val="20"/>
              </w:rPr>
            </w:pPr>
            <w:r w:rsidRPr="008A19EF">
              <w:rPr>
                <w:b/>
                <w:color w:val="000000"/>
                <w:sz w:val="20"/>
                <w:szCs w:val="20"/>
              </w:rPr>
              <w:t>Obchod</w:t>
            </w:r>
          </w:p>
        </w:tc>
        <w:tc>
          <w:tcPr>
            <w:tcW w:w="1110" w:type="dxa"/>
            <w:tcBorders>
              <w:top w:val="single" w:sz="4" w:space="0" w:color="auto"/>
              <w:left w:val="nil"/>
              <w:bottom w:val="single" w:sz="4" w:space="0" w:color="auto"/>
              <w:right w:val="single" w:sz="4" w:space="0" w:color="auto"/>
            </w:tcBorders>
            <w:shd w:val="clear" w:color="auto" w:fill="auto"/>
            <w:noWrap/>
            <w:vAlign w:val="center"/>
            <w:hideMark/>
          </w:tcPr>
          <w:p w:rsidR="00CD2E87" w:rsidRPr="008A19EF" w:rsidRDefault="00CD2E87" w:rsidP="008C1B7E">
            <w:pPr>
              <w:spacing w:line="240" w:lineRule="auto"/>
              <w:contextualSpacing/>
              <w:jc w:val="right"/>
              <w:rPr>
                <w:color w:val="000000"/>
                <w:sz w:val="20"/>
                <w:szCs w:val="20"/>
              </w:rPr>
            </w:pPr>
            <w:r w:rsidRPr="008A19EF">
              <w:rPr>
                <w:color w:val="000000"/>
                <w:sz w:val="20"/>
                <w:szCs w:val="20"/>
              </w:rPr>
              <w:t>115215</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2E87" w:rsidRPr="008A19EF" w:rsidRDefault="00CD2E87" w:rsidP="008C1B7E">
            <w:pPr>
              <w:spacing w:line="240" w:lineRule="auto"/>
              <w:contextualSpacing/>
              <w:jc w:val="right"/>
              <w:rPr>
                <w:color w:val="000000"/>
                <w:sz w:val="20"/>
                <w:szCs w:val="20"/>
              </w:rPr>
            </w:pPr>
            <w:r w:rsidRPr="008A19EF">
              <w:rPr>
                <w:color w:val="000000"/>
                <w:sz w:val="20"/>
                <w:szCs w:val="20"/>
              </w:rPr>
              <w:t>113544</w:t>
            </w:r>
          </w:p>
        </w:tc>
        <w:tc>
          <w:tcPr>
            <w:tcW w:w="1110" w:type="dxa"/>
            <w:tcBorders>
              <w:top w:val="single" w:sz="4" w:space="0" w:color="auto"/>
              <w:left w:val="nil"/>
              <w:bottom w:val="single" w:sz="4" w:space="0" w:color="auto"/>
              <w:right w:val="single" w:sz="4" w:space="0" w:color="auto"/>
            </w:tcBorders>
            <w:shd w:val="clear" w:color="auto" w:fill="auto"/>
            <w:noWrap/>
            <w:vAlign w:val="center"/>
            <w:hideMark/>
          </w:tcPr>
          <w:p w:rsidR="00CD2E87" w:rsidRPr="008A19EF" w:rsidRDefault="00CD2E87" w:rsidP="008C1B7E">
            <w:pPr>
              <w:spacing w:line="240" w:lineRule="auto"/>
              <w:contextualSpacing/>
              <w:jc w:val="right"/>
              <w:rPr>
                <w:color w:val="000000"/>
                <w:sz w:val="20"/>
                <w:szCs w:val="20"/>
              </w:rPr>
            </w:pPr>
            <w:r w:rsidRPr="008A19EF">
              <w:rPr>
                <w:color w:val="000000"/>
                <w:sz w:val="20"/>
                <w:szCs w:val="20"/>
              </w:rPr>
              <w:t>118692</w:t>
            </w:r>
          </w:p>
        </w:tc>
        <w:tc>
          <w:tcPr>
            <w:tcW w:w="1111" w:type="dxa"/>
            <w:tcBorders>
              <w:top w:val="single" w:sz="4" w:space="0" w:color="auto"/>
              <w:left w:val="nil"/>
              <w:bottom w:val="single" w:sz="4" w:space="0" w:color="auto"/>
              <w:right w:val="single" w:sz="4" w:space="0" w:color="auto"/>
            </w:tcBorders>
            <w:shd w:val="clear" w:color="auto" w:fill="auto"/>
            <w:noWrap/>
            <w:vAlign w:val="center"/>
            <w:hideMark/>
          </w:tcPr>
          <w:p w:rsidR="00CD2E87" w:rsidRPr="008A19EF" w:rsidRDefault="00CD2E87" w:rsidP="008C1B7E">
            <w:pPr>
              <w:spacing w:line="240" w:lineRule="auto"/>
              <w:contextualSpacing/>
              <w:jc w:val="right"/>
              <w:rPr>
                <w:color w:val="000000"/>
                <w:sz w:val="20"/>
                <w:szCs w:val="20"/>
              </w:rPr>
            </w:pPr>
            <w:r w:rsidRPr="008A19EF">
              <w:rPr>
                <w:color w:val="000000"/>
                <w:sz w:val="20"/>
                <w:szCs w:val="20"/>
              </w:rPr>
              <w:t>117529</w:t>
            </w:r>
          </w:p>
        </w:tc>
        <w:tc>
          <w:tcPr>
            <w:tcW w:w="1110" w:type="dxa"/>
            <w:tcBorders>
              <w:top w:val="single" w:sz="4" w:space="0" w:color="auto"/>
              <w:left w:val="nil"/>
              <w:bottom w:val="single" w:sz="4" w:space="0" w:color="auto"/>
              <w:right w:val="single" w:sz="18" w:space="0" w:color="auto"/>
            </w:tcBorders>
            <w:shd w:val="clear" w:color="auto" w:fill="auto"/>
            <w:noWrap/>
            <w:vAlign w:val="center"/>
            <w:hideMark/>
          </w:tcPr>
          <w:p w:rsidR="00CD2E87" w:rsidRPr="008A19EF" w:rsidRDefault="00CD2E87" w:rsidP="008C1B7E">
            <w:pPr>
              <w:spacing w:line="240" w:lineRule="auto"/>
              <w:contextualSpacing/>
              <w:jc w:val="right"/>
              <w:rPr>
                <w:color w:val="000000"/>
                <w:sz w:val="20"/>
                <w:szCs w:val="20"/>
              </w:rPr>
            </w:pPr>
            <w:r w:rsidRPr="008A19EF">
              <w:rPr>
                <w:color w:val="000000"/>
                <w:sz w:val="20"/>
                <w:szCs w:val="20"/>
              </w:rPr>
              <w:t>116274</w:t>
            </w:r>
          </w:p>
        </w:tc>
      </w:tr>
      <w:tr w:rsidR="00CD2E87" w:rsidRPr="00344365" w:rsidTr="003C3829">
        <w:trPr>
          <w:trHeight w:val="300"/>
          <w:jc w:val="center"/>
        </w:trPr>
        <w:tc>
          <w:tcPr>
            <w:tcW w:w="285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rsidR="00CD2E87" w:rsidRPr="008A19EF" w:rsidRDefault="00CD2E87" w:rsidP="008C1B7E">
            <w:pPr>
              <w:spacing w:line="240" w:lineRule="auto"/>
              <w:contextualSpacing/>
              <w:jc w:val="left"/>
              <w:rPr>
                <w:b/>
                <w:color w:val="000000"/>
                <w:sz w:val="20"/>
                <w:szCs w:val="20"/>
              </w:rPr>
            </w:pPr>
            <w:r w:rsidRPr="008A19EF">
              <w:rPr>
                <w:b/>
                <w:color w:val="000000"/>
                <w:sz w:val="20"/>
                <w:szCs w:val="20"/>
              </w:rPr>
              <w:t>Hotely, reštaurácie</w:t>
            </w:r>
          </w:p>
        </w:tc>
        <w:tc>
          <w:tcPr>
            <w:tcW w:w="1110" w:type="dxa"/>
            <w:tcBorders>
              <w:top w:val="single" w:sz="4" w:space="0" w:color="auto"/>
              <w:left w:val="nil"/>
              <w:bottom w:val="single" w:sz="4" w:space="0" w:color="auto"/>
              <w:right w:val="single" w:sz="4" w:space="0" w:color="auto"/>
            </w:tcBorders>
            <w:shd w:val="clear" w:color="auto" w:fill="auto"/>
            <w:noWrap/>
            <w:vAlign w:val="center"/>
            <w:hideMark/>
          </w:tcPr>
          <w:p w:rsidR="00CD2E87" w:rsidRPr="008A19EF" w:rsidRDefault="00CD2E87" w:rsidP="008C1B7E">
            <w:pPr>
              <w:spacing w:line="240" w:lineRule="auto"/>
              <w:contextualSpacing/>
              <w:jc w:val="right"/>
              <w:rPr>
                <w:color w:val="000000"/>
                <w:sz w:val="20"/>
                <w:szCs w:val="20"/>
              </w:rPr>
            </w:pPr>
            <w:r w:rsidRPr="008A19EF">
              <w:rPr>
                <w:color w:val="000000"/>
                <w:sz w:val="20"/>
                <w:szCs w:val="20"/>
              </w:rPr>
              <w:t>16058</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2E87" w:rsidRPr="008A19EF" w:rsidRDefault="00CD2E87" w:rsidP="008C1B7E">
            <w:pPr>
              <w:spacing w:line="240" w:lineRule="auto"/>
              <w:contextualSpacing/>
              <w:jc w:val="right"/>
              <w:rPr>
                <w:color w:val="000000"/>
                <w:sz w:val="20"/>
                <w:szCs w:val="20"/>
              </w:rPr>
            </w:pPr>
            <w:r w:rsidRPr="008A19EF">
              <w:rPr>
                <w:color w:val="000000"/>
                <w:sz w:val="20"/>
                <w:szCs w:val="20"/>
              </w:rPr>
              <w:t>16099</w:t>
            </w:r>
          </w:p>
        </w:tc>
        <w:tc>
          <w:tcPr>
            <w:tcW w:w="1110" w:type="dxa"/>
            <w:tcBorders>
              <w:top w:val="single" w:sz="4" w:space="0" w:color="auto"/>
              <w:left w:val="nil"/>
              <w:bottom w:val="single" w:sz="4" w:space="0" w:color="auto"/>
              <w:right w:val="single" w:sz="4" w:space="0" w:color="auto"/>
            </w:tcBorders>
            <w:shd w:val="clear" w:color="auto" w:fill="auto"/>
            <w:noWrap/>
            <w:vAlign w:val="center"/>
            <w:hideMark/>
          </w:tcPr>
          <w:p w:rsidR="00CD2E87" w:rsidRPr="008A19EF" w:rsidRDefault="00CD2E87" w:rsidP="008C1B7E">
            <w:pPr>
              <w:spacing w:line="240" w:lineRule="auto"/>
              <w:contextualSpacing/>
              <w:jc w:val="right"/>
              <w:rPr>
                <w:color w:val="000000"/>
                <w:sz w:val="20"/>
                <w:szCs w:val="20"/>
              </w:rPr>
            </w:pPr>
            <w:r w:rsidRPr="008A19EF">
              <w:rPr>
                <w:color w:val="000000"/>
                <w:sz w:val="20"/>
                <w:szCs w:val="20"/>
              </w:rPr>
              <w:t>14971</w:t>
            </w:r>
          </w:p>
        </w:tc>
        <w:tc>
          <w:tcPr>
            <w:tcW w:w="1111" w:type="dxa"/>
            <w:tcBorders>
              <w:top w:val="single" w:sz="4" w:space="0" w:color="auto"/>
              <w:left w:val="nil"/>
              <w:bottom w:val="single" w:sz="4" w:space="0" w:color="auto"/>
              <w:right w:val="single" w:sz="4" w:space="0" w:color="auto"/>
            </w:tcBorders>
            <w:shd w:val="clear" w:color="auto" w:fill="auto"/>
            <w:noWrap/>
            <w:vAlign w:val="center"/>
            <w:hideMark/>
          </w:tcPr>
          <w:p w:rsidR="00CD2E87" w:rsidRPr="008A19EF" w:rsidRDefault="00CD2E87" w:rsidP="008C1B7E">
            <w:pPr>
              <w:spacing w:line="240" w:lineRule="auto"/>
              <w:contextualSpacing/>
              <w:jc w:val="right"/>
              <w:rPr>
                <w:color w:val="000000"/>
                <w:sz w:val="20"/>
                <w:szCs w:val="20"/>
              </w:rPr>
            </w:pPr>
            <w:r w:rsidRPr="008A19EF">
              <w:rPr>
                <w:color w:val="000000"/>
                <w:sz w:val="20"/>
                <w:szCs w:val="20"/>
              </w:rPr>
              <w:t>14862</w:t>
            </w:r>
          </w:p>
        </w:tc>
        <w:tc>
          <w:tcPr>
            <w:tcW w:w="1110" w:type="dxa"/>
            <w:tcBorders>
              <w:top w:val="single" w:sz="4" w:space="0" w:color="auto"/>
              <w:left w:val="nil"/>
              <w:bottom w:val="single" w:sz="4" w:space="0" w:color="auto"/>
              <w:right w:val="single" w:sz="18" w:space="0" w:color="auto"/>
            </w:tcBorders>
            <w:shd w:val="clear" w:color="auto" w:fill="auto"/>
            <w:noWrap/>
            <w:vAlign w:val="center"/>
            <w:hideMark/>
          </w:tcPr>
          <w:p w:rsidR="00CD2E87" w:rsidRPr="008A19EF" w:rsidRDefault="00CD2E87" w:rsidP="008C1B7E">
            <w:pPr>
              <w:spacing w:line="240" w:lineRule="auto"/>
              <w:contextualSpacing/>
              <w:jc w:val="right"/>
              <w:rPr>
                <w:color w:val="000000"/>
                <w:sz w:val="20"/>
                <w:szCs w:val="20"/>
              </w:rPr>
            </w:pPr>
            <w:r w:rsidRPr="008A19EF">
              <w:rPr>
                <w:color w:val="000000"/>
                <w:sz w:val="20"/>
                <w:szCs w:val="20"/>
              </w:rPr>
              <w:t>15207</w:t>
            </w:r>
          </w:p>
        </w:tc>
      </w:tr>
      <w:tr w:rsidR="00CD2E87" w:rsidRPr="00344365" w:rsidTr="003C3829">
        <w:trPr>
          <w:trHeight w:val="300"/>
          <w:jc w:val="center"/>
        </w:trPr>
        <w:tc>
          <w:tcPr>
            <w:tcW w:w="285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rsidR="00CD2E87" w:rsidRPr="008A19EF" w:rsidRDefault="008C1B7E" w:rsidP="008C1B7E">
            <w:pPr>
              <w:spacing w:line="240" w:lineRule="auto"/>
              <w:contextualSpacing/>
              <w:jc w:val="left"/>
              <w:rPr>
                <w:b/>
                <w:color w:val="000000"/>
                <w:sz w:val="20"/>
                <w:szCs w:val="20"/>
              </w:rPr>
            </w:pPr>
            <w:r w:rsidRPr="008A19EF">
              <w:rPr>
                <w:b/>
                <w:color w:val="000000"/>
                <w:sz w:val="20"/>
                <w:szCs w:val="20"/>
              </w:rPr>
              <w:t xml:space="preserve">Doprava, </w:t>
            </w:r>
            <w:r w:rsidR="00CD2E87" w:rsidRPr="008A19EF">
              <w:rPr>
                <w:b/>
                <w:color w:val="000000"/>
                <w:sz w:val="20"/>
                <w:szCs w:val="20"/>
              </w:rPr>
              <w:t>skladovanie, pošty a telekomunikácie</w:t>
            </w:r>
          </w:p>
        </w:tc>
        <w:tc>
          <w:tcPr>
            <w:tcW w:w="1110" w:type="dxa"/>
            <w:tcBorders>
              <w:top w:val="single" w:sz="4" w:space="0" w:color="auto"/>
              <w:left w:val="nil"/>
              <w:bottom w:val="single" w:sz="4" w:space="0" w:color="auto"/>
              <w:right w:val="single" w:sz="4" w:space="0" w:color="auto"/>
            </w:tcBorders>
            <w:shd w:val="clear" w:color="auto" w:fill="auto"/>
            <w:noWrap/>
            <w:vAlign w:val="center"/>
            <w:hideMark/>
          </w:tcPr>
          <w:p w:rsidR="00CD2E87" w:rsidRPr="008A19EF" w:rsidRDefault="00CD2E87" w:rsidP="008C1B7E">
            <w:pPr>
              <w:spacing w:line="240" w:lineRule="auto"/>
              <w:contextualSpacing/>
              <w:jc w:val="right"/>
              <w:rPr>
                <w:color w:val="000000"/>
                <w:sz w:val="20"/>
                <w:szCs w:val="20"/>
              </w:rPr>
            </w:pPr>
            <w:r w:rsidRPr="008A19EF">
              <w:rPr>
                <w:color w:val="000000"/>
                <w:sz w:val="20"/>
                <w:szCs w:val="20"/>
              </w:rPr>
              <w:t>15766</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2E87" w:rsidRPr="008A19EF" w:rsidRDefault="00CD2E87" w:rsidP="008C1B7E">
            <w:pPr>
              <w:spacing w:line="240" w:lineRule="auto"/>
              <w:contextualSpacing/>
              <w:jc w:val="right"/>
              <w:rPr>
                <w:color w:val="000000"/>
                <w:sz w:val="20"/>
                <w:szCs w:val="20"/>
              </w:rPr>
            </w:pPr>
            <w:r w:rsidRPr="008A19EF">
              <w:rPr>
                <w:color w:val="000000"/>
                <w:sz w:val="20"/>
                <w:szCs w:val="20"/>
              </w:rPr>
              <w:t>15326</w:t>
            </w:r>
          </w:p>
        </w:tc>
        <w:tc>
          <w:tcPr>
            <w:tcW w:w="1110" w:type="dxa"/>
            <w:tcBorders>
              <w:top w:val="single" w:sz="4" w:space="0" w:color="auto"/>
              <w:left w:val="nil"/>
              <w:bottom w:val="single" w:sz="4" w:space="0" w:color="auto"/>
              <w:right w:val="single" w:sz="4" w:space="0" w:color="auto"/>
            </w:tcBorders>
            <w:shd w:val="clear" w:color="auto" w:fill="auto"/>
            <w:noWrap/>
            <w:vAlign w:val="center"/>
            <w:hideMark/>
          </w:tcPr>
          <w:p w:rsidR="00CD2E87" w:rsidRPr="008A19EF" w:rsidRDefault="00CD2E87" w:rsidP="008C1B7E">
            <w:pPr>
              <w:spacing w:line="240" w:lineRule="auto"/>
              <w:contextualSpacing/>
              <w:jc w:val="right"/>
              <w:rPr>
                <w:color w:val="000000"/>
                <w:sz w:val="20"/>
                <w:szCs w:val="20"/>
              </w:rPr>
            </w:pPr>
            <w:r w:rsidRPr="008A19EF">
              <w:rPr>
                <w:color w:val="000000"/>
                <w:sz w:val="20"/>
                <w:szCs w:val="20"/>
              </w:rPr>
              <w:t>14613</w:t>
            </w:r>
          </w:p>
        </w:tc>
        <w:tc>
          <w:tcPr>
            <w:tcW w:w="1111" w:type="dxa"/>
            <w:tcBorders>
              <w:top w:val="single" w:sz="4" w:space="0" w:color="auto"/>
              <w:left w:val="nil"/>
              <w:bottom w:val="single" w:sz="4" w:space="0" w:color="auto"/>
              <w:right w:val="single" w:sz="4" w:space="0" w:color="auto"/>
            </w:tcBorders>
            <w:shd w:val="clear" w:color="auto" w:fill="auto"/>
            <w:noWrap/>
            <w:vAlign w:val="center"/>
            <w:hideMark/>
          </w:tcPr>
          <w:p w:rsidR="00CD2E87" w:rsidRPr="008A19EF" w:rsidRDefault="00CD2E87" w:rsidP="008C1B7E">
            <w:pPr>
              <w:spacing w:line="240" w:lineRule="auto"/>
              <w:contextualSpacing/>
              <w:jc w:val="right"/>
              <w:rPr>
                <w:color w:val="000000"/>
                <w:sz w:val="20"/>
                <w:szCs w:val="20"/>
              </w:rPr>
            </w:pPr>
            <w:r w:rsidRPr="008A19EF">
              <w:rPr>
                <w:color w:val="000000"/>
                <w:sz w:val="20"/>
                <w:szCs w:val="20"/>
              </w:rPr>
              <w:t>14626</w:t>
            </w:r>
          </w:p>
        </w:tc>
        <w:tc>
          <w:tcPr>
            <w:tcW w:w="1110" w:type="dxa"/>
            <w:tcBorders>
              <w:top w:val="single" w:sz="4" w:space="0" w:color="auto"/>
              <w:left w:val="nil"/>
              <w:bottom w:val="single" w:sz="4" w:space="0" w:color="auto"/>
              <w:right w:val="single" w:sz="18" w:space="0" w:color="auto"/>
            </w:tcBorders>
            <w:shd w:val="clear" w:color="auto" w:fill="auto"/>
            <w:noWrap/>
            <w:vAlign w:val="center"/>
            <w:hideMark/>
          </w:tcPr>
          <w:p w:rsidR="00CD2E87" w:rsidRPr="008A19EF" w:rsidRDefault="00CD2E87" w:rsidP="008C1B7E">
            <w:pPr>
              <w:spacing w:line="240" w:lineRule="auto"/>
              <w:contextualSpacing/>
              <w:jc w:val="right"/>
              <w:rPr>
                <w:color w:val="000000"/>
                <w:sz w:val="20"/>
                <w:szCs w:val="20"/>
              </w:rPr>
            </w:pPr>
            <w:r w:rsidRPr="008A19EF">
              <w:rPr>
                <w:color w:val="000000"/>
                <w:sz w:val="20"/>
                <w:szCs w:val="20"/>
              </w:rPr>
              <w:t>15058</w:t>
            </w:r>
          </w:p>
        </w:tc>
      </w:tr>
      <w:tr w:rsidR="00CD2E87" w:rsidRPr="00344365" w:rsidTr="003C3829">
        <w:trPr>
          <w:trHeight w:val="300"/>
          <w:jc w:val="center"/>
        </w:trPr>
        <w:tc>
          <w:tcPr>
            <w:tcW w:w="285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rsidR="00CD2E87" w:rsidRPr="008A19EF" w:rsidRDefault="00CD2E87" w:rsidP="008C1B7E">
            <w:pPr>
              <w:spacing w:line="240" w:lineRule="auto"/>
              <w:contextualSpacing/>
              <w:jc w:val="left"/>
              <w:rPr>
                <w:b/>
                <w:color w:val="000000"/>
                <w:sz w:val="20"/>
                <w:szCs w:val="20"/>
              </w:rPr>
            </w:pPr>
            <w:r w:rsidRPr="008A19EF">
              <w:rPr>
                <w:b/>
                <w:color w:val="000000"/>
                <w:sz w:val="20"/>
                <w:szCs w:val="20"/>
              </w:rPr>
              <w:t>Finančné sprostredkovanie</w:t>
            </w:r>
          </w:p>
        </w:tc>
        <w:tc>
          <w:tcPr>
            <w:tcW w:w="1110" w:type="dxa"/>
            <w:tcBorders>
              <w:top w:val="single" w:sz="4" w:space="0" w:color="auto"/>
              <w:left w:val="nil"/>
              <w:bottom w:val="single" w:sz="4" w:space="0" w:color="auto"/>
              <w:right w:val="single" w:sz="4" w:space="0" w:color="auto"/>
            </w:tcBorders>
            <w:shd w:val="clear" w:color="auto" w:fill="auto"/>
            <w:noWrap/>
            <w:vAlign w:val="center"/>
            <w:hideMark/>
          </w:tcPr>
          <w:p w:rsidR="00CD2E87" w:rsidRPr="008A19EF" w:rsidRDefault="00CD2E87" w:rsidP="008C1B7E">
            <w:pPr>
              <w:spacing w:line="240" w:lineRule="auto"/>
              <w:contextualSpacing/>
              <w:jc w:val="right"/>
              <w:rPr>
                <w:color w:val="000000"/>
                <w:sz w:val="20"/>
                <w:szCs w:val="20"/>
              </w:rPr>
            </w:pPr>
            <w:r w:rsidRPr="008A19EF">
              <w:rPr>
                <w:color w:val="000000"/>
                <w:sz w:val="20"/>
                <w:szCs w:val="20"/>
              </w:rPr>
              <w:t>1328</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2E87" w:rsidRPr="008A19EF" w:rsidRDefault="00CD2E87" w:rsidP="008C1B7E">
            <w:pPr>
              <w:spacing w:line="240" w:lineRule="auto"/>
              <w:contextualSpacing/>
              <w:jc w:val="right"/>
              <w:rPr>
                <w:color w:val="000000"/>
                <w:sz w:val="20"/>
                <w:szCs w:val="20"/>
              </w:rPr>
            </w:pPr>
            <w:r w:rsidRPr="008A19EF">
              <w:rPr>
                <w:color w:val="000000"/>
                <w:sz w:val="20"/>
                <w:szCs w:val="20"/>
              </w:rPr>
              <w:t>1366</w:t>
            </w:r>
          </w:p>
        </w:tc>
        <w:tc>
          <w:tcPr>
            <w:tcW w:w="1110" w:type="dxa"/>
            <w:tcBorders>
              <w:top w:val="single" w:sz="4" w:space="0" w:color="auto"/>
              <w:left w:val="nil"/>
              <w:bottom w:val="single" w:sz="4" w:space="0" w:color="auto"/>
              <w:right w:val="single" w:sz="4" w:space="0" w:color="auto"/>
            </w:tcBorders>
            <w:shd w:val="clear" w:color="auto" w:fill="auto"/>
            <w:noWrap/>
            <w:vAlign w:val="center"/>
            <w:hideMark/>
          </w:tcPr>
          <w:p w:rsidR="00CD2E87" w:rsidRPr="008A19EF" w:rsidRDefault="00CD2E87" w:rsidP="008C1B7E">
            <w:pPr>
              <w:spacing w:line="240" w:lineRule="auto"/>
              <w:contextualSpacing/>
              <w:jc w:val="right"/>
              <w:rPr>
                <w:color w:val="000000"/>
                <w:sz w:val="20"/>
                <w:szCs w:val="20"/>
              </w:rPr>
            </w:pPr>
            <w:r w:rsidRPr="008A19EF">
              <w:rPr>
                <w:color w:val="000000"/>
                <w:sz w:val="20"/>
                <w:szCs w:val="20"/>
              </w:rPr>
              <w:t>2499</w:t>
            </w:r>
          </w:p>
        </w:tc>
        <w:tc>
          <w:tcPr>
            <w:tcW w:w="1111" w:type="dxa"/>
            <w:tcBorders>
              <w:top w:val="single" w:sz="4" w:space="0" w:color="auto"/>
              <w:left w:val="nil"/>
              <w:bottom w:val="single" w:sz="4" w:space="0" w:color="auto"/>
              <w:right w:val="single" w:sz="4" w:space="0" w:color="auto"/>
            </w:tcBorders>
            <w:shd w:val="clear" w:color="auto" w:fill="auto"/>
            <w:noWrap/>
            <w:vAlign w:val="center"/>
            <w:hideMark/>
          </w:tcPr>
          <w:p w:rsidR="00CD2E87" w:rsidRPr="008A19EF" w:rsidRDefault="00CD2E87" w:rsidP="008C1B7E">
            <w:pPr>
              <w:spacing w:line="240" w:lineRule="auto"/>
              <w:contextualSpacing/>
              <w:jc w:val="right"/>
              <w:rPr>
                <w:color w:val="000000"/>
                <w:sz w:val="20"/>
                <w:szCs w:val="20"/>
              </w:rPr>
            </w:pPr>
            <w:r w:rsidRPr="008A19EF">
              <w:rPr>
                <w:color w:val="000000"/>
                <w:sz w:val="20"/>
                <w:szCs w:val="20"/>
              </w:rPr>
              <w:t>3085</w:t>
            </w:r>
          </w:p>
        </w:tc>
        <w:tc>
          <w:tcPr>
            <w:tcW w:w="1110" w:type="dxa"/>
            <w:tcBorders>
              <w:top w:val="single" w:sz="4" w:space="0" w:color="auto"/>
              <w:left w:val="nil"/>
              <w:bottom w:val="single" w:sz="4" w:space="0" w:color="auto"/>
              <w:right w:val="single" w:sz="18" w:space="0" w:color="auto"/>
            </w:tcBorders>
            <w:shd w:val="clear" w:color="auto" w:fill="auto"/>
            <w:noWrap/>
            <w:vAlign w:val="center"/>
            <w:hideMark/>
          </w:tcPr>
          <w:p w:rsidR="00CD2E87" w:rsidRPr="008A19EF" w:rsidRDefault="00CD2E87" w:rsidP="008C1B7E">
            <w:pPr>
              <w:spacing w:line="240" w:lineRule="auto"/>
              <w:contextualSpacing/>
              <w:jc w:val="right"/>
              <w:rPr>
                <w:color w:val="000000"/>
                <w:sz w:val="20"/>
                <w:szCs w:val="20"/>
              </w:rPr>
            </w:pPr>
            <w:r w:rsidRPr="008A19EF">
              <w:rPr>
                <w:color w:val="000000"/>
                <w:sz w:val="20"/>
                <w:szCs w:val="20"/>
              </w:rPr>
              <w:t>3540</w:t>
            </w:r>
          </w:p>
        </w:tc>
      </w:tr>
      <w:tr w:rsidR="00CD2E87" w:rsidRPr="00344365" w:rsidTr="003C3829">
        <w:trPr>
          <w:trHeight w:val="300"/>
          <w:jc w:val="center"/>
        </w:trPr>
        <w:tc>
          <w:tcPr>
            <w:tcW w:w="285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rsidR="00CD2E87" w:rsidRPr="008A19EF" w:rsidRDefault="00CD2E87" w:rsidP="008C1B7E">
            <w:pPr>
              <w:spacing w:line="240" w:lineRule="auto"/>
              <w:contextualSpacing/>
              <w:jc w:val="left"/>
              <w:rPr>
                <w:b/>
                <w:color w:val="000000"/>
                <w:sz w:val="20"/>
                <w:szCs w:val="20"/>
              </w:rPr>
            </w:pPr>
            <w:r w:rsidRPr="008A19EF">
              <w:rPr>
                <w:b/>
                <w:color w:val="000000"/>
                <w:sz w:val="20"/>
                <w:szCs w:val="20"/>
              </w:rPr>
              <w:t>Nehnuteľnosti prenájom, obchodné činnosti</w:t>
            </w:r>
          </w:p>
        </w:tc>
        <w:tc>
          <w:tcPr>
            <w:tcW w:w="1110" w:type="dxa"/>
            <w:tcBorders>
              <w:top w:val="single" w:sz="4" w:space="0" w:color="auto"/>
              <w:left w:val="nil"/>
              <w:bottom w:val="single" w:sz="4" w:space="0" w:color="auto"/>
              <w:right w:val="single" w:sz="4" w:space="0" w:color="auto"/>
            </w:tcBorders>
            <w:shd w:val="clear" w:color="auto" w:fill="auto"/>
            <w:noWrap/>
            <w:vAlign w:val="center"/>
            <w:hideMark/>
          </w:tcPr>
          <w:p w:rsidR="00CD2E87" w:rsidRPr="008A19EF" w:rsidRDefault="00CD2E87" w:rsidP="008C1B7E">
            <w:pPr>
              <w:spacing w:line="240" w:lineRule="auto"/>
              <w:contextualSpacing/>
              <w:jc w:val="right"/>
              <w:rPr>
                <w:color w:val="000000"/>
                <w:sz w:val="20"/>
                <w:szCs w:val="20"/>
              </w:rPr>
            </w:pPr>
            <w:r w:rsidRPr="008A19EF">
              <w:rPr>
                <w:color w:val="000000"/>
                <w:sz w:val="20"/>
                <w:szCs w:val="20"/>
              </w:rPr>
              <w:t>48144</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2E87" w:rsidRPr="008A19EF" w:rsidRDefault="00CD2E87" w:rsidP="008C1B7E">
            <w:pPr>
              <w:spacing w:line="240" w:lineRule="auto"/>
              <w:contextualSpacing/>
              <w:jc w:val="right"/>
              <w:rPr>
                <w:color w:val="000000"/>
                <w:sz w:val="20"/>
                <w:szCs w:val="20"/>
              </w:rPr>
            </w:pPr>
            <w:r w:rsidRPr="008A19EF">
              <w:rPr>
                <w:color w:val="000000"/>
                <w:sz w:val="20"/>
                <w:szCs w:val="20"/>
              </w:rPr>
              <w:t>49515</w:t>
            </w:r>
          </w:p>
        </w:tc>
        <w:tc>
          <w:tcPr>
            <w:tcW w:w="1110" w:type="dxa"/>
            <w:tcBorders>
              <w:top w:val="single" w:sz="4" w:space="0" w:color="auto"/>
              <w:left w:val="nil"/>
              <w:bottom w:val="single" w:sz="4" w:space="0" w:color="auto"/>
              <w:right w:val="single" w:sz="4" w:space="0" w:color="auto"/>
            </w:tcBorders>
            <w:shd w:val="clear" w:color="auto" w:fill="auto"/>
            <w:noWrap/>
            <w:vAlign w:val="center"/>
            <w:hideMark/>
          </w:tcPr>
          <w:p w:rsidR="00CD2E87" w:rsidRPr="008A19EF" w:rsidRDefault="00CD2E87" w:rsidP="008C1B7E">
            <w:pPr>
              <w:spacing w:line="240" w:lineRule="auto"/>
              <w:contextualSpacing/>
              <w:jc w:val="right"/>
              <w:rPr>
                <w:color w:val="000000"/>
                <w:sz w:val="20"/>
                <w:szCs w:val="20"/>
              </w:rPr>
            </w:pPr>
            <w:r w:rsidRPr="008A19EF">
              <w:rPr>
                <w:color w:val="000000"/>
                <w:sz w:val="20"/>
                <w:szCs w:val="20"/>
              </w:rPr>
              <w:t>46995</w:t>
            </w:r>
          </w:p>
        </w:tc>
        <w:tc>
          <w:tcPr>
            <w:tcW w:w="1111" w:type="dxa"/>
            <w:tcBorders>
              <w:top w:val="single" w:sz="4" w:space="0" w:color="auto"/>
              <w:left w:val="nil"/>
              <w:bottom w:val="single" w:sz="4" w:space="0" w:color="auto"/>
              <w:right w:val="single" w:sz="4" w:space="0" w:color="auto"/>
            </w:tcBorders>
            <w:shd w:val="clear" w:color="auto" w:fill="auto"/>
            <w:noWrap/>
            <w:vAlign w:val="center"/>
            <w:hideMark/>
          </w:tcPr>
          <w:p w:rsidR="00CD2E87" w:rsidRPr="008A19EF" w:rsidRDefault="00CD2E87" w:rsidP="008C1B7E">
            <w:pPr>
              <w:spacing w:line="240" w:lineRule="auto"/>
              <w:contextualSpacing/>
              <w:jc w:val="right"/>
              <w:rPr>
                <w:color w:val="000000"/>
                <w:sz w:val="20"/>
                <w:szCs w:val="20"/>
              </w:rPr>
            </w:pPr>
            <w:r w:rsidRPr="008A19EF">
              <w:rPr>
                <w:color w:val="000000"/>
                <w:sz w:val="20"/>
                <w:szCs w:val="20"/>
              </w:rPr>
              <w:t>46718</w:t>
            </w:r>
          </w:p>
        </w:tc>
        <w:tc>
          <w:tcPr>
            <w:tcW w:w="1110" w:type="dxa"/>
            <w:tcBorders>
              <w:top w:val="single" w:sz="4" w:space="0" w:color="auto"/>
              <w:left w:val="nil"/>
              <w:bottom w:val="single" w:sz="4" w:space="0" w:color="auto"/>
              <w:right w:val="single" w:sz="18" w:space="0" w:color="auto"/>
            </w:tcBorders>
            <w:shd w:val="clear" w:color="auto" w:fill="auto"/>
            <w:noWrap/>
            <w:vAlign w:val="center"/>
            <w:hideMark/>
          </w:tcPr>
          <w:p w:rsidR="00CD2E87" w:rsidRPr="008A19EF" w:rsidRDefault="00CD2E87" w:rsidP="008C1B7E">
            <w:pPr>
              <w:spacing w:line="240" w:lineRule="auto"/>
              <w:contextualSpacing/>
              <w:jc w:val="right"/>
              <w:rPr>
                <w:color w:val="000000"/>
                <w:sz w:val="20"/>
                <w:szCs w:val="20"/>
              </w:rPr>
            </w:pPr>
            <w:r w:rsidRPr="008A19EF">
              <w:rPr>
                <w:color w:val="000000"/>
                <w:sz w:val="20"/>
                <w:szCs w:val="20"/>
              </w:rPr>
              <w:t>49307</w:t>
            </w:r>
          </w:p>
        </w:tc>
      </w:tr>
      <w:tr w:rsidR="00CD2E87" w:rsidRPr="00344365" w:rsidTr="003C3829">
        <w:trPr>
          <w:trHeight w:val="300"/>
          <w:jc w:val="center"/>
        </w:trPr>
        <w:tc>
          <w:tcPr>
            <w:tcW w:w="285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rsidR="00CD2E87" w:rsidRPr="008A19EF" w:rsidRDefault="00CD2E87" w:rsidP="008C1B7E">
            <w:pPr>
              <w:spacing w:line="240" w:lineRule="auto"/>
              <w:contextualSpacing/>
              <w:jc w:val="left"/>
              <w:rPr>
                <w:b/>
                <w:color w:val="000000"/>
                <w:sz w:val="20"/>
                <w:szCs w:val="20"/>
              </w:rPr>
            </w:pPr>
            <w:r w:rsidRPr="008A19EF">
              <w:rPr>
                <w:b/>
                <w:color w:val="000000"/>
                <w:sz w:val="20"/>
                <w:szCs w:val="20"/>
              </w:rPr>
              <w:t>Školstvo</w:t>
            </w:r>
          </w:p>
        </w:tc>
        <w:tc>
          <w:tcPr>
            <w:tcW w:w="1110" w:type="dxa"/>
            <w:tcBorders>
              <w:top w:val="single" w:sz="4" w:space="0" w:color="auto"/>
              <w:left w:val="nil"/>
              <w:bottom w:val="single" w:sz="4" w:space="0" w:color="auto"/>
              <w:right w:val="single" w:sz="4" w:space="0" w:color="auto"/>
            </w:tcBorders>
            <w:shd w:val="clear" w:color="auto" w:fill="auto"/>
            <w:noWrap/>
            <w:vAlign w:val="center"/>
            <w:hideMark/>
          </w:tcPr>
          <w:p w:rsidR="00CD2E87" w:rsidRPr="008A19EF" w:rsidRDefault="00CD2E87" w:rsidP="008C1B7E">
            <w:pPr>
              <w:spacing w:line="240" w:lineRule="auto"/>
              <w:contextualSpacing/>
              <w:jc w:val="right"/>
              <w:rPr>
                <w:color w:val="000000"/>
                <w:sz w:val="20"/>
                <w:szCs w:val="20"/>
              </w:rPr>
            </w:pPr>
            <w:r w:rsidRPr="008A19EF">
              <w:rPr>
                <w:color w:val="000000"/>
                <w:sz w:val="20"/>
                <w:szCs w:val="20"/>
              </w:rPr>
              <w:t>3643</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2E87" w:rsidRPr="008A19EF" w:rsidRDefault="00CD2E87" w:rsidP="008C1B7E">
            <w:pPr>
              <w:spacing w:line="240" w:lineRule="auto"/>
              <w:contextualSpacing/>
              <w:jc w:val="right"/>
              <w:rPr>
                <w:color w:val="000000"/>
                <w:sz w:val="20"/>
                <w:szCs w:val="20"/>
              </w:rPr>
            </w:pPr>
            <w:r w:rsidRPr="008A19EF">
              <w:rPr>
                <w:color w:val="000000"/>
                <w:sz w:val="20"/>
                <w:szCs w:val="20"/>
              </w:rPr>
              <w:t>3770</w:t>
            </w:r>
          </w:p>
        </w:tc>
        <w:tc>
          <w:tcPr>
            <w:tcW w:w="1110" w:type="dxa"/>
            <w:tcBorders>
              <w:top w:val="single" w:sz="4" w:space="0" w:color="auto"/>
              <w:left w:val="nil"/>
              <w:bottom w:val="single" w:sz="4" w:space="0" w:color="auto"/>
              <w:right w:val="single" w:sz="4" w:space="0" w:color="auto"/>
            </w:tcBorders>
            <w:shd w:val="clear" w:color="auto" w:fill="auto"/>
            <w:noWrap/>
            <w:vAlign w:val="center"/>
            <w:hideMark/>
          </w:tcPr>
          <w:p w:rsidR="00CD2E87" w:rsidRPr="008A19EF" w:rsidRDefault="00CD2E87" w:rsidP="008C1B7E">
            <w:pPr>
              <w:spacing w:line="240" w:lineRule="auto"/>
              <w:contextualSpacing/>
              <w:jc w:val="right"/>
              <w:rPr>
                <w:color w:val="000000"/>
                <w:sz w:val="20"/>
                <w:szCs w:val="20"/>
              </w:rPr>
            </w:pPr>
            <w:r w:rsidRPr="008A19EF">
              <w:rPr>
                <w:color w:val="000000"/>
                <w:sz w:val="20"/>
                <w:szCs w:val="20"/>
              </w:rPr>
              <w:t>3508</w:t>
            </w:r>
          </w:p>
        </w:tc>
        <w:tc>
          <w:tcPr>
            <w:tcW w:w="1111" w:type="dxa"/>
            <w:tcBorders>
              <w:top w:val="single" w:sz="4" w:space="0" w:color="auto"/>
              <w:left w:val="nil"/>
              <w:bottom w:val="single" w:sz="4" w:space="0" w:color="auto"/>
              <w:right w:val="single" w:sz="4" w:space="0" w:color="auto"/>
            </w:tcBorders>
            <w:shd w:val="clear" w:color="auto" w:fill="auto"/>
            <w:noWrap/>
            <w:vAlign w:val="center"/>
            <w:hideMark/>
          </w:tcPr>
          <w:p w:rsidR="00CD2E87" w:rsidRPr="008A19EF" w:rsidRDefault="00CD2E87" w:rsidP="008C1B7E">
            <w:pPr>
              <w:spacing w:line="240" w:lineRule="auto"/>
              <w:contextualSpacing/>
              <w:jc w:val="right"/>
              <w:rPr>
                <w:color w:val="000000"/>
                <w:sz w:val="20"/>
                <w:szCs w:val="20"/>
              </w:rPr>
            </w:pPr>
            <w:r w:rsidRPr="008A19EF">
              <w:rPr>
                <w:color w:val="000000"/>
                <w:sz w:val="20"/>
                <w:szCs w:val="20"/>
              </w:rPr>
              <w:t>3439</w:t>
            </w:r>
          </w:p>
        </w:tc>
        <w:tc>
          <w:tcPr>
            <w:tcW w:w="1110" w:type="dxa"/>
            <w:tcBorders>
              <w:top w:val="single" w:sz="4" w:space="0" w:color="auto"/>
              <w:left w:val="nil"/>
              <w:bottom w:val="single" w:sz="4" w:space="0" w:color="auto"/>
              <w:right w:val="single" w:sz="18" w:space="0" w:color="auto"/>
            </w:tcBorders>
            <w:shd w:val="clear" w:color="auto" w:fill="auto"/>
            <w:noWrap/>
            <w:vAlign w:val="center"/>
            <w:hideMark/>
          </w:tcPr>
          <w:p w:rsidR="00CD2E87" w:rsidRPr="008A19EF" w:rsidRDefault="00CD2E87" w:rsidP="008C1B7E">
            <w:pPr>
              <w:spacing w:line="240" w:lineRule="auto"/>
              <w:contextualSpacing/>
              <w:jc w:val="right"/>
              <w:rPr>
                <w:color w:val="000000"/>
                <w:sz w:val="20"/>
                <w:szCs w:val="20"/>
              </w:rPr>
            </w:pPr>
            <w:r w:rsidRPr="008A19EF">
              <w:rPr>
                <w:color w:val="000000"/>
                <w:sz w:val="20"/>
                <w:szCs w:val="20"/>
              </w:rPr>
              <w:t>3613</w:t>
            </w:r>
          </w:p>
        </w:tc>
      </w:tr>
      <w:tr w:rsidR="00CD2E87" w:rsidRPr="00344365" w:rsidTr="003C3829">
        <w:trPr>
          <w:trHeight w:val="300"/>
          <w:jc w:val="center"/>
        </w:trPr>
        <w:tc>
          <w:tcPr>
            <w:tcW w:w="285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rsidR="00CD2E87" w:rsidRPr="008A19EF" w:rsidRDefault="00CD2E87" w:rsidP="008C1B7E">
            <w:pPr>
              <w:spacing w:line="240" w:lineRule="auto"/>
              <w:contextualSpacing/>
              <w:jc w:val="left"/>
              <w:rPr>
                <w:b/>
                <w:color w:val="000000"/>
                <w:sz w:val="20"/>
                <w:szCs w:val="20"/>
              </w:rPr>
            </w:pPr>
            <w:r w:rsidRPr="008A19EF">
              <w:rPr>
                <w:b/>
                <w:color w:val="000000"/>
                <w:sz w:val="20"/>
                <w:szCs w:val="20"/>
              </w:rPr>
              <w:t>Zdravotníctvo, sociálna pomoc</w:t>
            </w:r>
          </w:p>
        </w:tc>
        <w:tc>
          <w:tcPr>
            <w:tcW w:w="1110" w:type="dxa"/>
            <w:tcBorders>
              <w:top w:val="single" w:sz="4" w:space="0" w:color="auto"/>
              <w:left w:val="nil"/>
              <w:bottom w:val="single" w:sz="4" w:space="0" w:color="auto"/>
              <w:right w:val="single" w:sz="4" w:space="0" w:color="auto"/>
            </w:tcBorders>
            <w:shd w:val="clear" w:color="auto" w:fill="auto"/>
            <w:noWrap/>
            <w:vAlign w:val="center"/>
            <w:hideMark/>
          </w:tcPr>
          <w:p w:rsidR="00CD2E87" w:rsidRPr="008A19EF" w:rsidRDefault="00CD2E87" w:rsidP="008C1B7E">
            <w:pPr>
              <w:spacing w:line="240" w:lineRule="auto"/>
              <w:contextualSpacing/>
              <w:jc w:val="right"/>
              <w:rPr>
                <w:color w:val="000000"/>
                <w:sz w:val="20"/>
                <w:szCs w:val="20"/>
              </w:rPr>
            </w:pPr>
            <w:r w:rsidRPr="008A19EF">
              <w:rPr>
                <w:color w:val="000000"/>
                <w:sz w:val="20"/>
                <w:szCs w:val="20"/>
              </w:rPr>
              <w:t>560</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2E87" w:rsidRPr="008A19EF" w:rsidRDefault="00CD2E87" w:rsidP="008C1B7E">
            <w:pPr>
              <w:spacing w:line="240" w:lineRule="auto"/>
              <w:contextualSpacing/>
              <w:jc w:val="right"/>
              <w:rPr>
                <w:color w:val="000000"/>
                <w:sz w:val="20"/>
                <w:szCs w:val="20"/>
              </w:rPr>
            </w:pPr>
            <w:r w:rsidRPr="008A19EF">
              <w:rPr>
                <w:color w:val="000000"/>
                <w:sz w:val="20"/>
                <w:szCs w:val="20"/>
              </w:rPr>
              <w:t>646</w:t>
            </w:r>
          </w:p>
        </w:tc>
        <w:tc>
          <w:tcPr>
            <w:tcW w:w="1110" w:type="dxa"/>
            <w:tcBorders>
              <w:top w:val="single" w:sz="4" w:space="0" w:color="auto"/>
              <w:left w:val="nil"/>
              <w:bottom w:val="single" w:sz="4" w:space="0" w:color="auto"/>
              <w:right w:val="single" w:sz="4" w:space="0" w:color="auto"/>
            </w:tcBorders>
            <w:shd w:val="clear" w:color="auto" w:fill="auto"/>
            <w:noWrap/>
            <w:vAlign w:val="center"/>
            <w:hideMark/>
          </w:tcPr>
          <w:p w:rsidR="00CD2E87" w:rsidRPr="008A19EF" w:rsidRDefault="00CD2E87" w:rsidP="008C1B7E">
            <w:pPr>
              <w:spacing w:line="240" w:lineRule="auto"/>
              <w:contextualSpacing/>
              <w:jc w:val="right"/>
              <w:rPr>
                <w:color w:val="000000"/>
                <w:sz w:val="20"/>
                <w:szCs w:val="20"/>
              </w:rPr>
            </w:pPr>
            <w:r w:rsidRPr="008A19EF">
              <w:rPr>
                <w:color w:val="000000"/>
                <w:sz w:val="20"/>
                <w:szCs w:val="20"/>
              </w:rPr>
              <w:t>679</w:t>
            </w:r>
          </w:p>
        </w:tc>
        <w:tc>
          <w:tcPr>
            <w:tcW w:w="1111" w:type="dxa"/>
            <w:tcBorders>
              <w:top w:val="single" w:sz="4" w:space="0" w:color="auto"/>
              <w:left w:val="nil"/>
              <w:bottom w:val="single" w:sz="4" w:space="0" w:color="auto"/>
              <w:right w:val="single" w:sz="4" w:space="0" w:color="auto"/>
            </w:tcBorders>
            <w:shd w:val="clear" w:color="auto" w:fill="auto"/>
            <w:noWrap/>
            <w:vAlign w:val="center"/>
            <w:hideMark/>
          </w:tcPr>
          <w:p w:rsidR="00CD2E87" w:rsidRPr="008A19EF" w:rsidRDefault="00CD2E87" w:rsidP="008C1B7E">
            <w:pPr>
              <w:spacing w:line="240" w:lineRule="auto"/>
              <w:contextualSpacing/>
              <w:jc w:val="right"/>
              <w:rPr>
                <w:color w:val="000000"/>
                <w:sz w:val="20"/>
                <w:szCs w:val="20"/>
              </w:rPr>
            </w:pPr>
            <w:r w:rsidRPr="008A19EF">
              <w:rPr>
                <w:color w:val="000000"/>
                <w:sz w:val="20"/>
                <w:szCs w:val="20"/>
              </w:rPr>
              <w:t>814</w:t>
            </w:r>
          </w:p>
        </w:tc>
        <w:tc>
          <w:tcPr>
            <w:tcW w:w="1110" w:type="dxa"/>
            <w:tcBorders>
              <w:top w:val="single" w:sz="4" w:space="0" w:color="auto"/>
              <w:left w:val="nil"/>
              <w:bottom w:val="single" w:sz="4" w:space="0" w:color="auto"/>
              <w:right w:val="single" w:sz="18" w:space="0" w:color="auto"/>
            </w:tcBorders>
            <w:shd w:val="clear" w:color="auto" w:fill="auto"/>
            <w:noWrap/>
            <w:vAlign w:val="center"/>
            <w:hideMark/>
          </w:tcPr>
          <w:p w:rsidR="00CD2E87" w:rsidRPr="008A19EF" w:rsidRDefault="00CD2E87" w:rsidP="008C1B7E">
            <w:pPr>
              <w:spacing w:line="240" w:lineRule="auto"/>
              <w:contextualSpacing/>
              <w:jc w:val="right"/>
              <w:rPr>
                <w:color w:val="000000"/>
                <w:sz w:val="20"/>
                <w:szCs w:val="20"/>
              </w:rPr>
            </w:pPr>
            <w:r w:rsidRPr="008A19EF">
              <w:rPr>
                <w:color w:val="000000"/>
                <w:sz w:val="20"/>
                <w:szCs w:val="20"/>
              </w:rPr>
              <w:t>878</w:t>
            </w:r>
          </w:p>
        </w:tc>
      </w:tr>
      <w:tr w:rsidR="00CD2E87" w:rsidRPr="00344365" w:rsidTr="003C3829">
        <w:trPr>
          <w:trHeight w:val="300"/>
          <w:jc w:val="center"/>
        </w:trPr>
        <w:tc>
          <w:tcPr>
            <w:tcW w:w="2850" w:type="dxa"/>
            <w:tcBorders>
              <w:top w:val="single" w:sz="4" w:space="0" w:color="auto"/>
              <w:left w:val="single" w:sz="18" w:space="0" w:color="auto"/>
              <w:bottom w:val="single" w:sz="18" w:space="0" w:color="auto"/>
              <w:right w:val="single" w:sz="4" w:space="0" w:color="auto"/>
            </w:tcBorders>
            <w:shd w:val="clear" w:color="auto" w:fill="auto"/>
            <w:noWrap/>
            <w:vAlign w:val="center"/>
            <w:hideMark/>
          </w:tcPr>
          <w:p w:rsidR="00CD2E87" w:rsidRPr="008A19EF" w:rsidRDefault="00CD2E87" w:rsidP="008C1B7E">
            <w:pPr>
              <w:spacing w:line="240" w:lineRule="auto"/>
              <w:contextualSpacing/>
              <w:jc w:val="left"/>
              <w:rPr>
                <w:b/>
                <w:color w:val="000000"/>
                <w:sz w:val="20"/>
                <w:szCs w:val="20"/>
              </w:rPr>
            </w:pPr>
            <w:r w:rsidRPr="008A19EF">
              <w:rPr>
                <w:b/>
                <w:color w:val="000000"/>
                <w:sz w:val="20"/>
                <w:szCs w:val="20"/>
              </w:rPr>
              <w:t>Ostatné</w:t>
            </w:r>
          </w:p>
        </w:tc>
        <w:tc>
          <w:tcPr>
            <w:tcW w:w="1110" w:type="dxa"/>
            <w:tcBorders>
              <w:top w:val="single" w:sz="4" w:space="0" w:color="auto"/>
              <w:left w:val="nil"/>
              <w:bottom w:val="single" w:sz="18" w:space="0" w:color="auto"/>
              <w:right w:val="single" w:sz="4" w:space="0" w:color="auto"/>
            </w:tcBorders>
            <w:shd w:val="clear" w:color="auto" w:fill="auto"/>
            <w:noWrap/>
            <w:vAlign w:val="center"/>
            <w:hideMark/>
          </w:tcPr>
          <w:p w:rsidR="00CD2E87" w:rsidRPr="008A19EF" w:rsidRDefault="00CD2E87" w:rsidP="008C1B7E">
            <w:pPr>
              <w:spacing w:line="240" w:lineRule="auto"/>
              <w:jc w:val="right"/>
              <w:rPr>
                <w:color w:val="000000"/>
                <w:sz w:val="20"/>
                <w:szCs w:val="20"/>
              </w:rPr>
            </w:pPr>
            <w:r w:rsidRPr="008A19EF">
              <w:rPr>
                <w:color w:val="000000"/>
                <w:sz w:val="20"/>
                <w:szCs w:val="20"/>
              </w:rPr>
              <w:t>14428</w:t>
            </w:r>
          </w:p>
        </w:tc>
        <w:tc>
          <w:tcPr>
            <w:tcW w:w="1111" w:type="dxa"/>
            <w:tcBorders>
              <w:top w:val="single" w:sz="4" w:space="0" w:color="auto"/>
              <w:left w:val="single" w:sz="4" w:space="0" w:color="auto"/>
              <w:bottom w:val="single" w:sz="18" w:space="0" w:color="auto"/>
              <w:right w:val="single" w:sz="4" w:space="0" w:color="auto"/>
            </w:tcBorders>
            <w:shd w:val="clear" w:color="auto" w:fill="auto"/>
            <w:noWrap/>
            <w:vAlign w:val="center"/>
            <w:hideMark/>
          </w:tcPr>
          <w:p w:rsidR="00CD2E87" w:rsidRPr="008A19EF" w:rsidRDefault="00CD2E87" w:rsidP="008C1B7E">
            <w:pPr>
              <w:spacing w:line="240" w:lineRule="auto"/>
              <w:jc w:val="right"/>
              <w:rPr>
                <w:color w:val="000000"/>
                <w:sz w:val="20"/>
                <w:szCs w:val="20"/>
              </w:rPr>
            </w:pPr>
            <w:r w:rsidRPr="008A19EF">
              <w:rPr>
                <w:color w:val="000000"/>
                <w:sz w:val="20"/>
                <w:szCs w:val="20"/>
              </w:rPr>
              <w:t>14967</w:t>
            </w:r>
          </w:p>
        </w:tc>
        <w:tc>
          <w:tcPr>
            <w:tcW w:w="1110" w:type="dxa"/>
            <w:tcBorders>
              <w:top w:val="single" w:sz="4" w:space="0" w:color="auto"/>
              <w:left w:val="nil"/>
              <w:bottom w:val="single" w:sz="18" w:space="0" w:color="auto"/>
              <w:right w:val="single" w:sz="4" w:space="0" w:color="auto"/>
            </w:tcBorders>
            <w:shd w:val="clear" w:color="auto" w:fill="auto"/>
            <w:noWrap/>
            <w:vAlign w:val="center"/>
            <w:hideMark/>
          </w:tcPr>
          <w:p w:rsidR="00CD2E87" w:rsidRPr="008A19EF" w:rsidRDefault="00CD2E87" w:rsidP="008C1B7E">
            <w:pPr>
              <w:spacing w:line="240" w:lineRule="auto"/>
              <w:jc w:val="right"/>
              <w:rPr>
                <w:color w:val="000000"/>
                <w:sz w:val="20"/>
                <w:szCs w:val="20"/>
              </w:rPr>
            </w:pPr>
            <w:r w:rsidRPr="008A19EF">
              <w:rPr>
                <w:color w:val="000000"/>
                <w:sz w:val="20"/>
                <w:szCs w:val="20"/>
              </w:rPr>
              <w:t>14319</w:t>
            </w:r>
          </w:p>
        </w:tc>
        <w:tc>
          <w:tcPr>
            <w:tcW w:w="1111" w:type="dxa"/>
            <w:tcBorders>
              <w:top w:val="single" w:sz="4" w:space="0" w:color="auto"/>
              <w:left w:val="nil"/>
              <w:bottom w:val="single" w:sz="18" w:space="0" w:color="auto"/>
              <w:right w:val="single" w:sz="4" w:space="0" w:color="auto"/>
            </w:tcBorders>
            <w:shd w:val="clear" w:color="auto" w:fill="auto"/>
            <w:noWrap/>
            <w:vAlign w:val="center"/>
            <w:hideMark/>
          </w:tcPr>
          <w:p w:rsidR="00CD2E87" w:rsidRPr="008A19EF" w:rsidRDefault="00CD2E87" w:rsidP="008C1B7E">
            <w:pPr>
              <w:spacing w:line="240" w:lineRule="auto"/>
              <w:jc w:val="right"/>
              <w:rPr>
                <w:color w:val="000000"/>
                <w:sz w:val="20"/>
                <w:szCs w:val="20"/>
              </w:rPr>
            </w:pPr>
            <w:r w:rsidRPr="008A19EF">
              <w:rPr>
                <w:color w:val="000000"/>
                <w:sz w:val="20"/>
                <w:szCs w:val="20"/>
              </w:rPr>
              <w:t>14115</w:t>
            </w:r>
          </w:p>
        </w:tc>
        <w:tc>
          <w:tcPr>
            <w:tcW w:w="1110" w:type="dxa"/>
            <w:tcBorders>
              <w:top w:val="single" w:sz="4" w:space="0" w:color="auto"/>
              <w:left w:val="nil"/>
              <w:bottom w:val="single" w:sz="18" w:space="0" w:color="auto"/>
              <w:right w:val="single" w:sz="18" w:space="0" w:color="auto"/>
            </w:tcBorders>
            <w:shd w:val="clear" w:color="auto" w:fill="auto"/>
            <w:noWrap/>
            <w:vAlign w:val="center"/>
            <w:hideMark/>
          </w:tcPr>
          <w:p w:rsidR="00CD2E87" w:rsidRPr="008A19EF" w:rsidRDefault="00CD2E87" w:rsidP="008C1B7E">
            <w:pPr>
              <w:spacing w:line="240" w:lineRule="auto"/>
              <w:jc w:val="right"/>
              <w:rPr>
                <w:color w:val="000000"/>
                <w:sz w:val="20"/>
                <w:szCs w:val="20"/>
              </w:rPr>
            </w:pPr>
            <w:r w:rsidRPr="008A19EF">
              <w:rPr>
                <w:color w:val="000000"/>
                <w:sz w:val="20"/>
                <w:szCs w:val="20"/>
              </w:rPr>
              <w:t>15280</w:t>
            </w:r>
          </w:p>
        </w:tc>
      </w:tr>
    </w:tbl>
    <w:p w:rsidR="00CD2E87" w:rsidRDefault="008C1B7E" w:rsidP="00A30D85">
      <w:pPr>
        <w:spacing w:before="0" w:line="240" w:lineRule="auto"/>
        <w:contextualSpacing/>
        <w:jc w:val="left"/>
        <w:rPr>
          <w:bCs/>
        </w:rPr>
      </w:pPr>
      <w:r>
        <w:rPr>
          <w:bCs/>
        </w:rPr>
        <w:t xml:space="preserve"> </w:t>
      </w:r>
      <w:r w:rsidR="00CD2E87" w:rsidRPr="00344365">
        <w:rPr>
          <w:bCs/>
        </w:rPr>
        <w:t>Zdroj: ŠÚ SR</w:t>
      </w:r>
    </w:p>
    <w:p w:rsidR="006B1F71" w:rsidRDefault="006B1F71" w:rsidP="008C1B7E">
      <w:pPr>
        <w:spacing w:before="0" w:line="240" w:lineRule="auto"/>
        <w:contextualSpacing/>
        <w:rPr>
          <w:bCs/>
        </w:rPr>
      </w:pPr>
    </w:p>
    <w:p w:rsidR="008A19EF" w:rsidRDefault="008A2E6C" w:rsidP="008A19EF">
      <w:pPr>
        <w:ind w:firstLine="708"/>
        <w:contextualSpacing/>
      </w:pPr>
      <w:r w:rsidRPr="003A673F">
        <w:rPr>
          <w:bCs/>
        </w:rPr>
        <w:t>Ak sa bliž</w:t>
      </w:r>
      <w:r>
        <w:rPr>
          <w:bCs/>
        </w:rPr>
        <w:t>šie pozrieme na jednotlivé oblasti</w:t>
      </w:r>
      <w:r>
        <w:t xml:space="preserve"> na Slovensku môžeme konštatovať, že </w:t>
      </w:r>
      <w:r w:rsidRPr="00AE1161">
        <w:t>v nami sledovanom období 2004 - 2008 m</w:t>
      </w:r>
      <w:r>
        <w:t>al</w:t>
      </w:r>
      <w:r w:rsidRPr="00AE1161">
        <w:t xml:space="preserve"> počet </w:t>
      </w:r>
      <w:r>
        <w:t>fyzický</w:t>
      </w:r>
      <w:r w:rsidRPr="00AE1161">
        <w:t>ch osôb na území Slovenskej republiky stúpajúcu tendenciu, a to vo všetkých jej oblastiach</w:t>
      </w:r>
      <w:r>
        <w:t xml:space="preserve">, s výnimkou Košického kraja, na území ktorého prišlo v roku 2005 k miernemu poklesu. </w:t>
      </w:r>
      <w:r w:rsidRPr="00AE1161">
        <w:t xml:space="preserve">Najväčšie zastúpenie </w:t>
      </w:r>
      <w:r>
        <w:t>fyzi</w:t>
      </w:r>
      <w:r w:rsidRPr="00AE1161">
        <w:t xml:space="preserve">ckých osôb </w:t>
      </w:r>
      <w:r>
        <w:t>bolo</w:t>
      </w:r>
      <w:r w:rsidRPr="00AE1161">
        <w:t xml:space="preserve"> </w:t>
      </w:r>
      <w:r>
        <w:t>zaznamenané</w:t>
      </w:r>
      <w:r w:rsidRPr="00AE1161">
        <w:t xml:space="preserve"> v oblasti Západného Slovenska, najmä v Nitrianskom kraji, kde dosah</w:t>
      </w:r>
      <w:r>
        <w:t>oval</w:t>
      </w:r>
      <w:r w:rsidRPr="00AE1161">
        <w:t xml:space="preserve"> </w:t>
      </w:r>
      <w:r>
        <w:t>priemerný počet 48 572</w:t>
      </w:r>
      <w:r w:rsidRPr="00AE1161">
        <w:t xml:space="preserve">. Najmenšie zastúpenie </w:t>
      </w:r>
      <w:r>
        <w:t>fyz</w:t>
      </w:r>
      <w:r w:rsidRPr="00AE1161">
        <w:t xml:space="preserve">ických osôb bolo naopak zaznamenané v oblasti </w:t>
      </w:r>
      <w:r>
        <w:t>Bratislavského kraja</w:t>
      </w:r>
      <w:r w:rsidRPr="00AE1161">
        <w:t xml:space="preserve">, kde dosahoval </w:t>
      </w:r>
      <w:r>
        <w:t>priemerný počet 61 868</w:t>
      </w:r>
      <w:r w:rsidRPr="00AE1161">
        <w:t>.</w:t>
      </w:r>
      <w:r>
        <w:t xml:space="preserve"> </w:t>
      </w:r>
      <w:r w:rsidRPr="00AE1161">
        <w:t xml:space="preserve">Ak by sme porovnávali počet </w:t>
      </w:r>
      <w:r>
        <w:t>fyz</w:t>
      </w:r>
      <w:r w:rsidRPr="00AE1161">
        <w:t>ických osôb v roku 2008 v porovnaní s rokom 2004 len na úrovni samosprávnych krajov, potom ich najväčší nárast (až o</w:t>
      </w:r>
      <w:r>
        <w:t> 13 621</w:t>
      </w:r>
      <w:r w:rsidRPr="00AE1161">
        <w:t xml:space="preserve">) </w:t>
      </w:r>
      <w:r>
        <w:t xml:space="preserve">bol </w:t>
      </w:r>
      <w:r w:rsidRPr="00AE1161">
        <w:t>evid</w:t>
      </w:r>
      <w:r>
        <w:t>ovaný</w:t>
      </w:r>
      <w:r w:rsidRPr="00AE1161">
        <w:t xml:space="preserve"> v </w:t>
      </w:r>
      <w:r>
        <w:t>Prešovskom</w:t>
      </w:r>
      <w:r w:rsidRPr="00AE1161">
        <w:t xml:space="preserve"> kraji a najmenší (len o </w:t>
      </w:r>
      <w:r>
        <w:t>3</w:t>
      </w:r>
      <w:r w:rsidRPr="00AE1161">
        <w:t> </w:t>
      </w:r>
      <w:r>
        <w:t>700</w:t>
      </w:r>
      <w:r w:rsidRPr="00AE1161">
        <w:t>) v </w:t>
      </w:r>
      <w:r>
        <w:t>Bratislavskom</w:t>
      </w:r>
      <w:r w:rsidRPr="00AE1161">
        <w:t xml:space="preserve"> kraji.</w:t>
      </w:r>
    </w:p>
    <w:p w:rsidR="00AB041C" w:rsidRDefault="00AB041C" w:rsidP="008A19EF">
      <w:pPr>
        <w:contextualSpacing/>
        <w:rPr>
          <w:b/>
        </w:rPr>
      </w:pPr>
    </w:p>
    <w:p w:rsidR="008A2E6C" w:rsidRDefault="008A2E6C" w:rsidP="008A19EF">
      <w:pPr>
        <w:contextualSpacing/>
        <w:rPr>
          <w:b/>
        </w:rPr>
      </w:pPr>
    </w:p>
    <w:p w:rsidR="008A2E6C" w:rsidRDefault="008A2E6C" w:rsidP="008A19EF">
      <w:pPr>
        <w:contextualSpacing/>
        <w:rPr>
          <w:b/>
        </w:rPr>
      </w:pPr>
    </w:p>
    <w:p w:rsidR="008A2E6C" w:rsidRDefault="008A2E6C" w:rsidP="008A19EF">
      <w:pPr>
        <w:contextualSpacing/>
        <w:rPr>
          <w:b/>
        </w:rPr>
      </w:pPr>
    </w:p>
    <w:p w:rsidR="008A2E6C" w:rsidRDefault="008A2E6C" w:rsidP="008A19EF">
      <w:pPr>
        <w:contextualSpacing/>
        <w:rPr>
          <w:b/>
        </w:rPr>
      </w:pPr>
    </w:p>
    <w:p w:rsidR="008A2E6C" w:rsidRDefault="008A2E6C" w:rsidP="008A19EF">
      <w:pPr>
        <w:contextualSpacing/>
        <w:rPr>
          <w:b/>
        </w:rPr>
      </w:pPr>
    </w:p>
    <w:p w:rsidR="008A2E6C" w:rsidRDefault="008A2E6C" w:rsidP="008A19EF">
      <w:pPr>
        <w:contextualSpacing/>
        <w:rPr>
          <w:b/>
        </w:rPr>
      </w:pPr>
    </w:p>
    <w:p w:rsidR="008A2E6C" w:rsidRDefault="008A2E6C" w:rsidP="008A19EF">
      <w:pPr>
        <w:contextualSpacing/>
        <w:rPr>
          <w:b/>
        </w:rPr>
      </w:pPr>
    </w:p>
    <w:p w:rsidR="008A2E6C" w:rsidRDefault="008A2E6C" w:rsidP="008A19EF">
      <w:pPr>
        <w:contextualSpacing/>
        <w:rPr>
          <w:b/>
        </w:rPr>
      </w:pPr>
    </w:p>
    <w:p w:rsidR="008A19EF" w:rsidRPr="00344365" w:rsidRDefault="008A19EF" w:rsidP="003C3829">
      <w:pPr>
        <w:spacing w:line="240" w:lineRule="auto"/>
        <w:contextualSpacing/>
        <w:jc w:val="left"/>
        <w:rPr>
          <w:b/>
        </w:rPr>
      </w:pPr>
      <w:r>
        <w:rPr>
          <w:b/>
        </w:rPr>
        <w:lastRenderedPageBreak/>
        <w:t xml:space="preserve">Fyzické osoby na území SR </w:t>
      </w:r>
      <w:r w:rsidRPr="00344365">
        <w:rPr>
          <w:b/>
          <w:bCs/>
        </w:rPr>
        <w:t>v sledovanom období 2004 - 2008</w:t>
      </w:r>
      <w:r w:rsidRPr="00344365">
        <w:rPr>
          <w:b/>
        </w:rPr>
        <w:t xml:space="preserve">   </w:t>
      </w:r>
      <w:r w:rsidR="003C3829">
        <w:rPr>
          <w:b/>
        </w:rPr>
        <w:t xml:space="preserve">                </w:t>
      </w:r>
      <w:r w:rsidR="003C3829" w:rsidRPr="00344365">
        <w:rPr>
          <w:b/>
        </w:rPr>
        <w:t xml:space="preserve">Tabuľka </w:t>
      </w:r>
      <w:r w:rsidR="008A2E6C">
        <w:rPr>
          <w:b/>
        </w:rPr>
        <w:t>3</w:t>
      </w:r>
      <w:r w:rsidRPr="00344365">
        <w:rPr>
          <w:b/>
        </w:rPr>
        <w:t xml:space="preserve">   </w:t>
      </w:r>
      <w:r>
        <w:rPr>
          <w:b/>
        </w:rPr>
        <w:t xml:space="preserve">             </w:t>
      </w:r>
      <w:r w:rsidRPr="00344365">
        <w:rPr>
          <w:b/>
        </w:rPr>
        <w:t xml:space="preserve">      </w:t>
      </w:r>
    </w:p>
    <w:tbl>
      <w:tblPr>
        <w:tblW w:w="8859" w:type="dxa"/>
        <w:tblCellMar>
          <w:left w:w="70" w:type="dxa"/>
          <w:right w:w="70" w:type="dxa"/>
        </w:tblCellMar>
        <w:tblLook w:val="04A0"/>
      </w:tblPr>
      <w:tblGrid>
        <w:gridCol w:w="2940"/>
        <w:gridCol w:w="1200"/>
        <w:gridCol w:w="1200"/>
        <w:gridCol w:w="1200"/>
        <w:gridCol w:w="1200"/>
        <w:gridCol w:w="1119"/>
      </w:tblGrid>
      <w:tr w:rsidR="008A19EF" w:rsidRPr="00344365" w:rsidTr="00136606">
        <w:trPr>
          <w:trHeight w:val="300"/>
        </w:trPr>
        <w:tc>
          <w:tcPr>
            <w:tcW w:w="2940" w:type="dxa"/>
            <w:vMerge w:val="restart"/>
            <w:tcBorders>
              <w:top w:val="single" w:sz="18" w:space="0" w:color="auto"/>
              <w:left w:val="single" w:sz="18" w:space="0" w:color="auto"/>
              <w:right w:val="single" w:sz="4" w:space="0" w:color="auto"/>
            </w:tcBorders>
            <w:shd w:val="clear" w:color="auto" w:fill="auto"/>
            <w:noWrap/>
            <w:vAlign w:val="center"/>
            <w:hideMark/>
          </w:tcPr>
          <w:p w:rsidR="008A19EF" w:rsidRPr="003C3829" w:rsidRDefault="008A19EF" w:rsidP="003C3829">
            <w:pPr>
              <w:spacing w:line="240" w:lineRule="auto"/>
              <w:contextualSpacing/>
              <w:jc w:val="center"/>
              <w:rPr>
                <w:color w:val="000000"/>
                <w:sz w:val="20"/>
                <w:szCs w:val="20"/>
              </w:rPr>
            </w:pPr>
          </w:p>
        </w:tc>
        <w:tc>
          <w:tcPr>
            <w:tcW w:w="5919" w:type="dxa"/>
            <w:gridSpan w:val="5"/>
            <w:tcBorders>
              <w:top w:val="single" w:sz="18" w:space="0" w:color="auto"/>
              <w:left w:val="nil"/>
              <w:bottom w:val="single" w:sz="4" w:space="0" w:color="auto"/>
              <w:right w:val="single" w:sz="18" w:space="0" w:color="auto"/>
            </w:tcBorders>
            <w:shd w:val="clear" w:color="auto" w:fill="auto"/>
            <w:noWrap/>
            <w:vAlign w:val="center"/>
            <w:hideMark/>
          </w:tcPr>
          <w:p w:rsidR="008A19EF" w:rsidRPr="003C3829" w:rsidRDefault="008A19EF" w:rsidP="003C3829">
            <w:pPr>
              <w:spacing w:line="240" w:lineRule="auto"/>
              <w:contextualSpacing/>
              <w:jc w:val="center"/>
              <w:rPr>
                <w:b/>
                <w:color w:val="000000"/>
                <w:sz w:val="20"/>
                <w:szCs w:val="20"/>
              </w:rPr>
            </w:pPr>
            <w:r w:rsidRPr="003C3829">
              <w:rPr>
                <w:b/>
                <w:color w:val="000000"/>
                <w:sz w:val="20"/>
                <w:szCs w:val="20"/>
              </w:rPr>
              <w:t>Fyzické osoby - podnikatelia spolu</w:t>
            </w:r>
          </w:p>
        </w:tc>
      </w:tr>
      <w:tr w:rsidR="008A19EF" w:rsidRPr="00344365" w:rsidTr="00136606">
        <w:trPr>
          <w:trHeight w:val="300"/>
        </w:trPr>
        <w:tc>
          <w:tcPr>
            <w:tcW w:w="2940" w:type="dxa"/>
            <w:vMerge/>
            <w:tcBorders>
              <w:left w:val="single" w:sz="18" w:space="0" w:color="auto"/>
              <w:bottom w:val="single" w:sz="18" w:space="0" w:color="auto"/>
              <w:right w:val="single" w:sz="4" w:space="0" w:color="auto"/>
            </w:tcBorders>
            <w:shd w:val="clear" w:color="auto" w:fill="auto"/>
            <w:noWrap/>
            <w:vAlign w:val="bottom"/>
            <w:hideMark/>
          </w:tcPr>
          <w:p w:rsidR="008A19EF" w:rsidRPr="003C3829" w:rsidRDefault="008A19EF" w:rsidP="003C3829">
            <w:pPr>
              <w:spacing w:line="240" w:lineRule="auto"/>
              <w:contextualSpacing/>
              <w:rPr>
                <w:color w:val="000000"/>
                <w:sz w:val="20"/>
                <w:szCs w:val="20"/>
              </w:rPr>
            </w:pPr>
          </w:p>
        </w:tc>
        <w:tc>
          <w:tcPr>
            <w:tcW w:w="1200" w:type="dxa"/>
            <w:tcBorders>
              <w:top w:val="nil"/>
              <w:left w:val="nil"/>
              <w:bottom w:val="single" w:sz="18" w:space="0" w:color="auto"/>
              <w:right w:val="single" w:sz="4" w:space="0" w:color="auto"/>
            </w:tcBorders>
            <w:shd w:val="clear" w:color="auto" w:fill="auto"/>
            <w:noWrap/>
            <w:vAlign w:val="center"/>
            <w:hideMark/>
          </w:tcPr>
          <w:p w:rsidR="008A19EF" w:rsidRPr="003C3829" w:rsidRDefault="008A19EF" w:rsidP="003C3829">
            <w:pPr>
              <w:spacing w:line="240" w:lineRule="auto"/>
              <w:contextualSpacing/>
              <w:jc w:val="center"/>
              <w:rPr>
                <w:b/>
                <w:color w:val="000000"/>
                <w:sz w:val="20"/>
                <w:szCs w:val="20"/>
              </w:rPr>
            </w:pPr>
            <w:r w:rsidRPr="003C3829">
              <w:rPr>
                <w:b/>
                <w:color w:val="000000"/>
                <w:sz w:val="20"/>
                <w:szCs w:val="20"/>
              </w:rPr>
              <w:t>2004</w:t>
            </w:r>
          </w:p>
        </w:tc>
        <w:tc>
          <w:tcPr>
            <w:tcW w:w="1200" w:type="dxa"/>
            <w:tcBorders>
              <w:top w:val="nil"/>
              <w:left w:val="nil"/>
              <w:bottom w:val="single" w:sz="18" w:space="0" w:color="auto"/>
              <w:right w:val="single" w:sz="4" w:space="0" w:color="auto"/>
            </w:tcBorders>
            <w:shd w:val="clear" w:color="auto" w:fill="auto"/>
            <w:noWrap/>
            <w:vAlign w:val="center"/>
            <w:hideMark/>
          </w:tcPr>
          <w:p w:rsidR="008A19EF" w:rsidRPr="003C3829" w:rsidRDefault="008A19EF" w:rsidP="003C3829">
            <w:pPr>
              <w:spacing w:line="240" w:lineRule="auto"/>
              <w:contextualSpacing/>
              <w:jc w:val="center"/>
              <w:rPr>
                <w:b/>
                <w:color w:val="000000"/>
                <w:sz w:val="20"/>
                <w:szCs w:val="20"/>
              </w:rPr>
            </w:pPr>
            <w:r w:rsidRPr="003C3829">
              <w:rPr>
                <w:b/>
                <w:color w:val="000000"/>
                <w:sz w:val="20"/>
                <w:szCs w:val="20"/>
              </w:rPr>
              <w:t>2005</w:t>
            </w:r>
          </w:p>
        </w:tc>
        <w:tc>
          <w:tcPr>
            <w:tcW w:w="1200" w:type="dxa"/>
            <w:tcBorders>
              <w:top w:val="nil"/>
              <w:left w:val="nil"/>
              <w:bottom w:val="single" w:sz="18" w:space="0" w:color="auto"/>
              <w:right w:val="single" w:sz="4" w:space="0" w:color="auto"/>
            </w:tcBorders>
            <w:shd w:val="clear" w:color="auto" w:fill="auto"/>
            <w:noWrap/>
            <w:vAlign w:val="center"/>
            <w:hideMark/>
          </w:tcPr>
          <w:p w:rsidR="008A19EF" w:rsidRPr="003C3829" w:rsidRDefault="008A19EF" w:rsidP="003C3829">
            <w:pPr>
              <w:spacing w:line="240" w:lineRule="auto"/>
              <w:contextualSpacing/>
              <w:jc w:val="center"/>
              <w:rPr>
                <w:b/>
                <w:color w:val="000000"/>
                <w:sz w:val="20"/>
                <w:szCs w:val="20"/>
              </w:rPr>
            </w:pPr>
            <w:r w:rsidRPr="003C3829">
              <w:rPr>
                <w:b/>
                <w:color w:val="000000"/>
                <w:sz w:val="20"/>
                <w:szCs w:val="20"/>
              </w:rPr>
              <w:t>2006</w:t>
            </w:r>
          </w:p>
        </w:tc>
        <w:tc>
          <w:tcPr>
            <w:tcW w:w="1200" w:type="dxa"/>
            <w:tcBorders>
              <w:top w:val="nil"/>
              <w:left w:val="nil"/>
              <w:bottom w:val="single" w:sz="18" w:space="0" w:color="auto"/>
              <w:right w:val="single" w:sz="4" w:space="0" w:color="auto"/>
            </w:tcBorders>
            <w:shd w:val="clear" w:color="auto" w:fill="auto"/>
            <w:noWrap/>
            <w:vAlign w:val="center"/>
            <w:hideMark/>
          </w:tcPr>
          <w:p w:rsidR="008A19EF" w:rsidRPr="003C3829" w:rsidRDefault="008A19EF" w:rsidP="003C3829">
            <w:pPr>
              <w:spacing w:line="240" w:lineRule="auto"/>
              <w:contextualSpacing/>
              <w:jc w:val="center"/>
              <w:rPr>
                <w:b/>
                <w:color w:val="000000"/>
                <w:sz w:val="20"/>
                <w:szCs w:val="20"/>
              </w:rPr>
            </w:pPr>
            <w:r w:rsidRPr="003C3829">
              <w:rPr>
                <w:b/>
                <w:color w:val="000000"/>
                <w:sz w:val="20"/>
                <w:szCs w:val="20"/>
              </w:rPr>
              <w:t>2007</w:t>
            </w:r>
          </w:p>
        </w:tc>
        <w:tc>
          <w:tcPr>
            <w:tcW w:w="1119" w:type="dxa"/>
            <w:tcBorders>
              <w:top w:val="nil"/>
              <w:left w:val="nil"/>
              <w:bottom w:val="single" w:sz="18" w:space="0" w:color="auto"/>
              <w:right w:val="single" w:sz="18" w:space="0" w:color="auto"/>
            </w:tcBorders>
            <w:shd w:val="clear" w:color="auto" w:fill="auto"/>
            <w:noWrap/>
            <w:vAlign w:val="center"/>
            <w:hideMark/>
          </w:tcPr>
          <w:p w:rsidR="008A19EF" w:rsidRPr="003C3829" w:rsidRDefault="008A19EF" w:rsidP="003C3829">
            <w:pPr>
              <w:spacing w:line="240" w:lineRule="auto"/>
              <w:contextualSpacing/>
              <w:jc w:val="center"/>
              <w:rPr>
                <w:b/>
                <w:color w:val="000000"/>
                <w:sz w:val="20"/>
                <w:szCs w:val="20"/>
              </w:rPr>
            </w:pPr>
            <w:r w:rsidRPr="003C3829">
              <w:rPr>
                <w:b/>
                <w:color w:val="000000"/>
                <w:sz w:val="20"/>
                <w:szCs w:val="20"/>
              </w:rPr>
              <w:t>2008</w:t>
            </w:r>
          </w:p>
        </w:tc>
      </w:tr>
      <w:tr w:rsidR="008A19EF" w:rsidRPr="00344365" w:rsidTr="00136606">
        <w:trPr>
          <w:trHeight w:val="300"/>
        </w:trPr>
        <w:tc>
          <w:tcPr>
            <w:tcW w:w="2940" w:type="dxa"/>
            <w:tcBorders>
              <w:top w:val="single" w:sz="18" w:space="0" w:color="auto"/>
              <w:left w:val="single" w:sz="18" w:space="0" w:color="auto"/>
              <w:bottom w:val="single" w:sz="18" w:space="0" w:color="auto"/>
              <w:right w:val="single" w:sz="4" w:space="0" w:color="auto"/>
            </w:tcBorders>
            <w:shd w:val="clear" w:color="auto" w:fill="FFFF00"/>
            <w:noWrap/>
            <w:vAlign w:val="center"/>
            <w:hideMark/>
          </w:tcPr>
          <w:p w:rsidR="008A19EF" w:rsidRPr="003C3829" w:rsidRDefault="008A19EF" w:rsidP="003C3829">
            <w:pPr>
              <w:spacing w:line="240" w:lineRule="auto"/>
              <w:contextualSpacing/>
              <w:rPr>
                <w:color w:val="000000"/>
                <w:sz w:val="20"/>
                <w:szCs w:val="20"/>
              </w:rPr>
            </w:pPr>
            <w:r w:rsidRPr="003C3829">
              <w:rPr>
                <w:color w:val="000000"/>
                <w:sz w:val="20"/>
                <w:szCs w:val="20"/>
              </w:rPr>
              <w:t>Bratislavský kraj</w:t>
            </w:r>
          </w:p>
        </w:tc>
        <w:tc>
          <w:tcPr>
            <w:tcW w:w="1200" w:type="dxa"/>
            <w:tcBorders>
              <w:top w:val="single" w:sz="18" w:space="0" w:color="auto"/>
              <w:left w:val="nil"/>
              <w:bottom w:val="single" w:sz="18" w:space="0" w:color="auto"/>
              <w:right w:val="single" w:sz="4" w:space="0" w:color="auto"/>
            </w:tcBorders>
            <w:shd w:val="clear" w:color="auto" w:fill="FFFF00"/>
            <w:noWrap/>
            <w:vAlign w:val="center"/>
            <w:hideMark/>
          </w:tcPr>
          <w:p w:rsidR="008A19EF" w:rsidRPr="003C3829" w:rsidRDefault="008A19EF" w:rsidP="003C3829">
            <w:pPr>
              <w:spacing w:line="240" w:lineRule="auto"/>
              <w:contextualSpacing/>
              <w:jc w:val="right"/>
              <w:rPr>
                <w:color w:val="000000"/>
                <w:sz w:val="20"/>
                <w:szCs w:val="20"/>
              </w:rPr>
            </w:pPr>
            <w:r w:rsidRPr="003C3829">
              <w:rPr>
                <w:color w:val="000000"/>
                <w:sz w:val="20"/>
                <w:szCs w:val="20"/>
              </w:rPr>
              <w:t>59873</w:t>
            </w:r>
          </w:p>
        </w:tc>
        <w:tc>
          <w:tcPr>
            <w:tcW w:w="1200" w:type="dxa"/>
            <w:tcBorders>
              <w:top w:val="single" w:sz="18" w:space="0" w:color="auto"/>
              <w:left w:val="nil"/>
              <w:bottom w:val="single" w:sz="18" w:space="0" w:color="auto"/>
              <w:right w:val="single" w:sz="4" w:space="0" w:color="auto"/>
            </w:tcBorders>
            <w:shd w:val="clear" w:color="auto" w:fill="FFFF00"/>
            <w:noWrap/>
            <w:vAlign w:val="center"/>
            <w:hideMark/>
          </w:tcPr>
          <w:p w:rsidR="008A19EF" w:rsidRPr="003C3829" w:rsidRDefault="008A19EF" w:rsidP="003C3829">
            <w:pPr>
              <w:spacing w:line="240" w:lineRule="auto"/>
              <w:contextualSpacing/>
              <w:jc w:val="right"/>
              <w:rPr>
                <w:color w:val="000000"/>
                <w:sz w:val="20"/>
                <w:szCs w:val="20"/>
              </w:rPr>
            </w:pPr>
            <w:r w:rsidRPr="003C3829">
              <w:rPr>
                <w:color w:val="000000"/>
                <w:sz w:val="20"/>
                <w:szCs w:val="20"/>
              </w:rPr>
              <w:t>59890</w:t>
            </w:r>
          </w:p>
        </w:tc>
        <w:tc>
          <w:tcPr>
            <w:tcW w:w="1200" w:type="dxa"/>
            <w:tcBorders>
              <w:top w:val="single" w:sz="18" w:space="0" w:color="auto"/>
              <w:left w:val="nil"/>
              <w:bottom w:val="single" w:sz="18" w:space="0" w:color="auto"/>
              <w:right w:val="single" w:sz="4" w:space="0" w:color="auto"/>
            </w:tcBorders>
            <w:shd w:val="clear" w:color="auto" w:fill="FFFF00"/>
            <w:noWrap/>
            <w:vAlign w:val="center"/>
            <w:hideMark/>
          </w:tcPr>
          <w:p w:rsidR="008A19EF" w:rsidRPr="003C3829" w:rsidRDefault="008A19EF" w:rsidP="003C3829">
            <w:pPr>
              <w:spacing w:line="240" w:lineRule="auto"/>
              <w:contextualSpacing/>
              <w:jc w:val="right"/>
              <w:rPr>
                <w:color w:val="000000"/>
                <w:sz w:val="20"/>
                <w:szCs w:val="20"/>
              </w:rPr>
            </w:pPr>
            <w:r w:rsidRPr="003C3829">
              <w:rPr>
                <w:color w:val="000000"/>
                <w:sz w:val="20"/>
                <w:szCs w:val="20"/>
              </w:rPr>
              <w:t>62906</w:t>
            </w:r>
          </w:p>
        </w:tc>
        <w:tc>
          <w:tcPr>
            <w:tcW w:w="1200" w:type="dxa"/>
            <w:tcBorders>
              <w:top w:val="single" w:sz="18" w:space="0" w:color="auto"/>
              <w:left w:val="nil"/>
              <w:bottom w:val="single" w:sz="18" w:space="0" w:color="auto"/>
              <w:right w:val="single" w:sz="4" w:space="0" w:color="auto"/>
            </w:tcBorders>
            <w:shd w:val="clear" w:color="auto" w:fill="FFFF00"/>
            <w:noWrap/>
            <w:vAlign w:val="center"/>
            <w:hideMark/>
          </w:tcPr>
          <w:p w:rsidR="008A19EF" w:rsidRPr="003C3829" w:rsidRDefault="008A19EF" w:rsidP="003C3829">
            <w:pPr>
              <w:spacing w:line="240" w:lineRule="auto"/>
              <w:contextualSpacing/>
              <w:jc w:val="right"/>
              <w:rPr>
                <w:color w:val="000000"/>
                <w:sz w:val="20"/>
                <w:szCs w:val="20"/>
              </w:rPr>
            </w:pPr>
            <w:r w:rsidRPr="003C3829">
              <w:rPr>
                <w:color w:val="000000"/>
                <w:sz w:val="20"/>
                <w:szCs w:val="20"/>
              </w:rPr>
              <w:t>63101</w:t>
            </w:r>
          </w:p>
        </w:tc>
        <w:tc>
          <w:tcPr>
            <w:tcW w:w="1119" w:type="dxa"/>
            <w:tcBorders>
              <w:top w:val="single" w:sz="18" w:space="0" w:color="auto"/>
              <w:left w:val="nil"/>
              <w:bottom w:val="single" w:sz="18" w:space="0" w:color="auto"/>
              <w:right w:val="single" w:sz="18" w:space="0" w:color="auto"/>
            </w:tcBorders>
            <w:shd w:val="clear" w:color="auto" w:fill="FFFF00"/>
            <w:noWrap/>
            <w:vAlign w:val="center"/>
            <w:hideMark/>
          </w:tcPr>
          <w:p w:rsidR="008A19EF" w:rsidRPr="003C3829" w:rsidRDefault="008A19EF" w:rsidP="003C3829">
            <w:pPr>
              <w:spacing w:line="240" w:lineRule="auto"/>
              <w:contextualSpacing/>
              <w:jc w:val="right"/>
              <w:rPr>
                <w:color w:val="000000"/>
                <w:sz w:val="20"/>
                <w:szCs w:val="20"/>
              </w:rPr>
            </w:pPr>
            <w:r w:rsidRPr="003C3829">
              <w:rPr>
                <w:color w:val="000000"/>
                <w:sz w:val="20"/>
                <w:szCs w:val="20"/>
              </w:rPr>
              <w:t>63573</w:t>
            </w:r>
          </w:p>
        </w:tc>
      </w:tr>
      <w:tr w:rsidR="008A19EF" w:rsidRPr="00344365" w:rsidTr="00136606">
        <w:trPr>
          <w:trHeight w:val="300"/>
        </w:trPr>
        <w:tc>
          <w:tcPr>
            <w:tcW w:w="2940" w:type="dxa"/>
            <w:tcBorders>
              <w:top w:val="single" w:sz="18" w:space="0" w:color="auto"/>
              <w:left w:val="single" w:sz="18" w:space="0" w:color="auto"/>
              <w:bottom w:val="single" w:sz="18" w:space="0" w:color="auto"/>
              <w:right w:val="single" w:sz="4" w:space="0" w:color="auto"/>
            </w:tcBorders>
            <w:shd w:val="clear" w:color="auto" w:fill="FFFF00"/>
            <w:noWrap/>
            <w:vAlign w:val="center"/>
            <w:hideMark/>
          </w:tcPr>
          <w:p w:rsidR="008A19EF" w:rsidRPr="003C3829" w:rsidRDefault="008A19EF" w:rsidP="003C3829">
            <w:pPr>
              <w:spacing w:line="240" w:lineRule="auto"/>
              <w:contextualSpacing/>
              <w:rPr>
                <w:color w:val="000000"/>
                <w:sz w:val="20"/>
                <w:szCs w:val="20"/>
              </w:rPr>
            </w:pPr>
            <w:r w:rsidRPr="003C3829">
              <w:rPr>
                <w:color w:val="000000"/>
                <w:sz w:val="20"/>
                <w:szCs w:val="20"/>
              </w:rPr>
              <w:t>Západné Slovensko</w:t>
            </w:r>
          </w:p>
        </w:tc>
        <w:tc>
          <w:tcPr>
            <w:tcW w:w="1200" w:type="dxa"/>
            <w:tcBorders>
              <w:top w:val="single" w:sz="18" w:space="0" w:color="auto"/>
              <w:left w:val="nil"/>
              <w:bottom w:val="single" w:sz="18" w:space="0" w:color="auto"/>
              <w:right w:val="single" w:sz="4" w:space="0" w:color="auto"/>
            </w:tcBorders>
            <w:shd w:val="clear" w:color="auto" w:fill="FFFF00"/>
            <w:noWrap/>
            <w:vAlign w:val="center"/>
            <w:hideMark/>
          </w:tcPr>
          <w:p w:rsidR="008A19EF" w:rsidRPr="003C3829" w:rsidRDefault="008A19EF" w:rsidP="003C3829">
            <w:pPr>
              <w:spacing w:line="240" w:lineRule="auto"/>
              <w:contextualSpacing/>
              <w:jc w:val="right"/>
              <w:rPr>
                <w:color w:val="000000"/>
                <w:sz w:val="20"/>
                <w:szCs w:val="20"/>
              </w:rPr>
            </w:pPr>
            <w:r w:rsidRPr="003C3829">
              <w:rPr>
                <w:color w:val="000000"/>
                <w:sz w:val="20"/>
                <w:szCs w:val="20"/>
              </w:rPr>
              <w:t>124050</w:t>
            </w:r>
          </w:p>
        </w:tc>
        <w:tc>
          <w:tcPr>
            <w:tcW w:w="1200" w:type="dxa"/>
            <w:tcBorders>
              <w:top w:val="single" w:sz="18" w:space="0" w:color="auto"/>
              <w:left w:val="nil"/>
              <w:bottom w:val="single" w:sz="18" w:space="0" w:color="auto"/>
              <w:right w:val="single" w:sz="4" w:space="0" w:color="auto"/>
            </w:tcBorders>
            <w:shd w:val="clear" w:color="auto" w:fill="FFFF00"/>
            <w:noWrap/>
            <w:vAlign w:val="center"/>
            <w:hideMark/>
          </w:tcPr>
          <w:p w:rsidR="008A19EF" w:rsidRPr="003C3829" w:rsidRDefault="008A19EF" w:rsidP="003C3829">
            <w:pPr>
              <w:spacing w:line="240" w:lineRule="auto"/>
              <w:contextualSpacing/>
              <w:jc w:val="right"/>
              <w:rPr>
                <w:color w:val="000000"/>
                <w:sz w:val="20"/>
                <w:szCs w:val="20"/>
              </w:rPr>
            </w:pPr>
            <w:r w:rsidRPr="003C3829">
              <w:rPr>
                <w:color w:val="000000"/>
                <w:sz w:val="20"/>
                <w:szCs w:val="20"/>
              </w:rPr>
              <w:t>126586</w:t>
            </w:r>
          </w:p>
        </w:tc>
        <w:tc>
          <w:tcPr>
            <w:tcW w:w="1200" w:type="dxa"/>
            <w:tcBorders>
              <w:top w:val="single" w:sz="18" w:space="0" w:color="auto"/>
              <w:left w:val="nil"/>
              <w:bottom w:val="single" w:sz="18" w:space="0" w:color="auto"/>
              <w:right w:val="single" w:sz="4" w:space="0" w:color="auto"/>
            </w:tcBorders>
            <w:shd w:val="clear" w:color="auto" w:fill="FFFF00"/>
            <w:noWrap/>
            <w:vAlign w:val="center"/>
            <w:hideMark/>
          </w:tcPr>
          <w:p w:rsidR="008A19EF" w:rsidRPr="003C3829" w:rsidRDefault="008A19EF" w:rsidP="003C3829">
            <w:pPr>
              <w:spacing w:line="240" w:lineRule="auto"/>
              <w:contextualSpacing/>
              <w:jc w:val="right"/>
              <w:rPr>
                <w:color w:val="000000"/>
                <w:sz w:val="20"/>
                <w:szCs w:val="20"/>
              </w:rPr>
            </w:pPr>
            <w:r w:rsidRPr="003C3829">
              <w:rPr>
                <w:color w:val="000000"/>
                <w:sz w:val="20"/>
                <w:szCs w:val="20"/>
              </w:rPr>
              <w:t>135645</w:t>
            </w:r>
          </w:p>
        </w:tc>
        <w:tc>
          <w:tcPr>
            <w:tcW w:w="1200" w:type="dxa"/>
            <w:tcBorders>
              <w:top w:val="single" w:sz="18" w:space="0" w:color="auto"/>
              <w:left w:val="nil"/>
              <w:bottom w:val="single" w:sz="18" w:space="0" w:color="auto"/>
              <w:right w:val="single" w:sz="4" w:space="0" w:color="auto"/>
            </w:tcBorders>
            <w:shd w:val="clear" w:color="auto" w:fill="FFFF00"/>
            <w:noWrap/>
            <w:vAlign w:val="center"/>
            <w:hideMark/>
          </w:tcPr>
          <w:p w:rsidR="008A19EF" w:rsidRPr="003C3829" w:rsidRDefault="008A19EF" w:rsidP="003C3829">
            <w:pPr>
              <w:spacing w:line="240" w:lineRule="auto"/>
              <w:contextualSpacing/>
              <w:jc w:val="right"/>
              <w:rPr>
                <w:color w:val="000000"/>
                <w:sz w:val="20"/>
                <w:szCs w:val="20"/>
              </w:rPr>
            </w:pPr>
            <w:r w:rsidRPr="003C3829">
              <w:rPr>
                <w:color w:val="000000"/>
                <w:sz w:val="20"/>
                <w:szCs w:val="20"/>
              </w:rPr>
              <w:t>138107</w:t>
            </w:r>
          </w:p>
        </w:tc>
        <w:tc>
          <w:tcPr>
            <w:tcW w:w="1119" w:type="dxa"/>
            <w:tcBorders>
              <w:top w:val="single" w:sz="18" w:space="0" w:color="auto"/>
              <w:left w:val="nil"/>
              <w:bottom w:val="single" w:sz="18" w:space="0" w:color="auto"/>
              <w:right w:val="single" w:sz="18" w:space="0" w:color="auto"/>
            </w:tcBorders>
            <w:shd w:val="clear" w:color="auto" w:fill="FFFF00"/>
            <w:noWrap/>
            <w:vAlign w:val="center"/>
            <w:hideMark/>
          </w:tcPr>
          <w:p w:rsidR="008A19EF" w:rsidRPr="003C3829" w:rsidRDefault="008A19EF" w:rsidP="003C3829">
            <w:pPr>
              <w:spacing w:line="240" w:lineRule="auto"/>
              <w:contextualSpacing/>
              <w:jc w:val="right"/>
              <w:rPr>
                <w:color w:val="000000"/>
                <w:sz w:val="20"/>
                <w:szCs w:val="20"/>
              </w:rPr>
            </w:pPr>
            <w:r w:rsidRPr="003C3829">
              <w:rPr>
                <w:color w:val="000000"/>
                <w:sz w:val="20"/>
                <w:szCs w:val="20"/>
              </w:rPr>
              <w:t>144861</w:t>
            </w:r>
          </w:p>
        </w:tc>
      </w:tr>
      <w:tr w:rsidR="008A19EF" w:rsidRPr="00344365" w:rsidTr="00136606">
        <w:trPr>
          <w:trHeight w:val="300"/>
        </w:trPr>
        <w:tc>
          <w:tcPr>
            <w:tcW w:w="2940" w:type="dxa"/>
            <w:tcBorders>
              <w:top w:val="single" w:sz="18" w:space="0" w:color="auto"/>
              <w:left w:val="single" w:sz="18" w:space="0" w:color="auto"/>
              <w:bottom w:val="single" w:sz="4" w:space="0" w:color="auto"/>
              <w:right w:val="single" w:sz="4" w:space="0" w:color="auto"/>
            </w:tcBorders>
            <w:shd w:val="clear" w:color="auto" w:fill="auto"/>
            <w:noWrap/>
            <w:vAlign w:val="center"/>
            <w:hideMark/>
          </w:tcPr>
          <w:p w:rsidR="008A19EF" w:rsidRPr="003C3829" w:rsidRDefault="008A19EF" w:rsidP="003C3829">
            <w:pPr>
              <w:spacing w:line="240" w:lineRule="auto"/>
              <w:contextualSpacing/>
              <w:rPr>
                <w:color w:val="000000"/>
                <w:sz w:val="20"/>
                <w:szCs w:val="20"/>
              </w:rPr>
            </w:pPr>
            <w:r w:rsidRPr="003C3829">
              <w:rPr>
                <w:color w:val="000000"/>
                <w:sz w:val="20"/>
                <w:szCs w:val="20"/>
              </w:rPr>
              <w:t>Trnavský kraj</w:t>
            </w:r>
          </w:p>
        </w:tc>
        <w:tc>
          <w:tcPr>
            <w:tcW w:w="1200" w:type="dxa"/>
            <w:tcBorders>
              <w:top w:val="single" w:sz="18" w:space="0" w:color="auto"/>
              <w:left w:val="nil"/>
              <w:bottom w:val="single" w:sz="4" w:space="0" w:color="auto"/>
              <w:right w:val="single" w:sz="4" w:space="0" w:color="auto"/>
            </w:tcBorders>
            <w:shd w:val="clear" w:color="auto" w:fill="auto"/>
            <w:noWrap/>
            <w:vAlign w:val="center"/>
            <w:hideMark/>
          </w:tcPr>
          <w:p w:rsidR="008A19EF" w:rsidRPr="003C3829" w:rsidRDefault="008A19EF" w:rsidP="003C3829">
            <w:pPr>
              <w:spacing w:line="240" w:lineRule="auto"/>
              <w:contextualSpacing/>
              <w:jc w:val="right"/>
              <w:rPr>
                <w:color w:val="000000"/>
                <w:sz w:val="20"/>
                <w:szCs w:val="20"/>
              </w:rPr>
            </w:pPr>
            <w:r w:rsidRPr="003C3829">
              <w:rPr>
                <w:color w:val="000000"/>
                <w:sz w:val="20"/>
                <w:szCs w:val="20"/>
              </w:rPr>
              <w:t>39079</w:t>
            </w:r>
          </w:p>
        </w:tc>
        <w:tc>
          <w:tcPr>
            <w:tcW w:w="1200" w:type="dxa"/>
            <w:tcBorders>
              <w:top w:val="single" w:sz="18" w:space="0" w:color="auto"/>
              <w:left w:val="nil"/>
              <w:bottom w:val="single" w:sz="4" w:space="0" w:color="auto"/>
              <w:right w:val="single" w:sz="4" w:space="0" w:color="auto"/>
            </w:tcBorders>
            <w:shd w:val="clear" w:color="auto" w:fill="auto"/>
            <w:noWrap/>
            <w:vAlign w:val="center"/>
            <w:hideMark/>
          </w:tcPr>
          <w:p w:rsidR="008A19EF" w:rsidRPr="003C3829" w:rsidRDefault="008A19EF" w:rsidP="003C3829">
            <w:pPr>
              <w:spacing w:line="240" w:lineRule="auto"/>
              <w:contextualSpacing/>
              <w:jc w:val="right"/>
              <w:rPr>
                <w:color w:val="000000"/>
                <w:sz w:val="20"/>
                <w:szCs w:val="20"/>
              </w:rPr>
            </w:pPr>
            <w:r w:rsidRPr="003C3829">
              <w:rPr>
                <w:color w:val="000000"/>
                <w:sz w:val="20"/>
                <w:szCs w:val="20"/>
              </w:rPr>
              <w:t>40099</w:t>
            </w:r>
          </w:p>
        </w:tc>
        <w:tc>
          <w:tcPr>
            <w:tcW w:w="1200" w:type="dxa"/>
            <w:tcBorders>
              <w:top w:val="single" w:sz="18" w:space="0" w:color="auto"/>
              <w:left w:val="nil"/>
              <w:bottom w:val="single" w:sz="4" w:space="0" w:color="auto"/>
              <w:right w:val="single" w:sz="4" w:space="0" w:color="auto"/>
            </w:tcBorders>
            <w:shd w:val="clear" w:color="auto" w:fill="auto"/>
            <w:noWrap/>
            <w:vAlign w:val="center"/>
            <w:hideMark/>
          </w:tcPr>
          <w:p w:rsidR="008A19EF" w:rsidRPr="003C3829" w:rsidRDefault="008A19EF" w:rsidP="003C3829">
            <w:pPr>
              <w:spacing w:line="240" w:lineRule="auto"/>
              <w:contextualSpacing/>
              <w:jc w:val="right"/>
              <w:rPr>
                <w:color w:val="000000"/>
                <w:sz w:val="20"/>
                <w:szCs w:val="20"/>
              </w:rPr>
            </w:pPr>
            <w:r w:rsidRPr="003C3829">
              <w:rPr>
                <w:color w:val="000000"/>
                <w:sz w:val="20"/>
                <w:szCs w:val="20"/>
              </w:rPr>
              <w:t>42733</w:t>
            </w:r>
          </w:p>
        </w:tc>
        <w:tc>
          <w:tcPr>
            <w:tcW w:w="1200" w:type="dxa"/>
            <w:tcBorders>
              <w:top w:val="single" w:sz="18" w:space="0" w:color="auto"/>
              <w:left w:val="nil"/>
              <w:bottom w:val="single" w:sz="4" w:space="0" w:color="auto"/>
              <w:right w:val="single" w:sz="4" w:space="0" w:color="auto"/>
            </w:tcBorders>
            <w:shd w:val="clear" w:color="auto" w:fill="auto"/>
            <w:noWrap/>
            <w:vAlign w:val="center"/>
            <w:hideMark/>
          </w:tcPr>
          <w:p w:rsidR="008A19EF" w:rsidRPr="003C3829" w:rsidRDefault="008A19EF" w:rsidP="003C3829">
            <w:pPr>
              <w:spacing w:line="240" w:lineRule="auto"/>
              <w:contextualSpacing/>
              <w:jc w:val="right"/>
              <w:rPr>
                <w:color w:val="000000"/>
                <w:sz w:val="20"/>
                <w:szCs w:val="20"/>
              </w:rPr>
            </w:pPr>
            <w:r w:rsidRPr="003C3829">
              <w:rPr>
                <w:color w:val="000000"/>
                <w:sz w:val="20"/>
                <w:szCs w:val="20"/>
              </w:rPr>
              <w:t>43768</w:t>
            </w:r>
          </w:p>
        </w:tc>
        <w:tc>
          <w:tcPr>
            <w:tcW w:w="1119" w:type="dxa"/>
            <w:tcBorders>
              <w:top w:val="single" w:sz="18" w:space="0" w:color="auto"/>
              <w:left w:val="nil"/>
              <w:bottom w:val="single" w:sz="4" w:space="0" w:color="auto"/>
              <w:right w:val="single" w:sz="18" w:space="0" w:color="auto"/>
            </w:tcBorders>
            <w:shd w:val="clear" w:color="auto" w:fill="auto"/>
            <w:noWrap/>
            <w:vAlign w:val="center"/>
            <w:hideMark/>
          </w:tcPr>
          <w:p w:rsidR="008A19EF" w:rsidRPr="003C3829" w:rsidRDefault="008A19EF" w:rsidP="003C3829">
            <w:pPr>
              <w:spacing w:line="240" w:lineRule="auto"/>
              <w:contextualSpacing/>
              <w:jc w:val="right"/>
              <w:rPr>
                <w:color w:val="000000"/>
                <w:sz w:val="20"/>
                <w:szCs w:val="20"/>
              </w:rPr>
            </w:pPr>
            <w:r w:rsidRPr="003C3829">
              <w:rPr>
                <w:color w:val="000000"/>
                <w:sz w:val="20"/>
                <w:szCs w:val="20"/>
              </w:rPr>
              <w:t>45570</w:t>
            </w:r>
          </w:p>
        </w:tc>
      </w:tr>
      <w:tr w:rsidR="008A19EF" w:rsidRPr="00344365" w:rsidTr="00136606">
        <w:trPr>
          <w:trHeight w:val="300"/>
        </w:trPr>
        <w:tc>
          <w:tcPr>
            <w:tcW w:w="294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rsidR="008A19EF" w:rsidRPr="003C3829" w:rsidRDefault="008A19EF" w:rsidP="003C3829">
            <w:pPr>
              <w:spacing w:line="240" w:lineRule="auto"/>
              <w:contextualSpacing/>
              <w:rPr>
                <w:color w:val="000000"/>
                <w:sz w:val="20"/>
                <w:szCs w:val="20"/>
              </w:rPr>
            </w:pPr>
            <w:r w:rsidRPr="003C3829">
              <w:rPr>
                <w:color w:val="000000"/>
                <w:sz w:val="20"/>
                <w:szCs w:val="20"/>
              </w:rPr>
              <w:t>Trenčiansky kraj</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8A19EF" w:rsidRPr="003C3829" w:rsidRDefault="008A19EF" w:rsidP="003C3829">
            <w:pPr>
              <w:spacing w:line="240" w:lineRule="auto"/>
              <w:contextualSpacing/>
              <w:jc w:val="right"/>
              <w:rPr>
                <w:color w:val="000000"/>
                <w:sz w:val="20"/>
                <w:szCs w:val="20"/>
              </w:rPr>
            </w:pPr>
            <w:r w:rsidRPr="003C3829">
              <w:rPr>
                <w:color w:val="000000"/>
                <w:sz w:val="20"/>
                <w:szCs w:val="20"/>
              </w:rPr>
              <w:t>40039</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8A19EF" w:rsidRPr="003C3829" w:rsidRDefault="008A19EF" w:rsidP="003C3829">
            <w:pPr>
              <w:spacing w:line="240" w:lineRule="auto"/>
              <w:contextualSpacing/>
              <w:jc w:val="right"/>
              <w:rPr>
                <w:color w:val="000000"/>
                <w:sz w:val="20"/>
                <w:szCs w:val="20"/>
              </w:rPr>
            </w:pPr>
            <w:r w:rsidRPr="003C3829">
              <w:rPr>
                <w:color w:val="000000"/>
                <w:sz w:val="20"/>
                <w:szCs w:val="20"/>
              </w:rPr>
              <w:t>40327</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8A19EF" w:rsidRPr="003C3829" w:rsidRDefault="008A19EF" w:rsidP="003C3829">
            <w:pPr>
              <w:spacing w:line="240" w:lineRule="auto"/>
              <w:contextualSpacing/>
              <w:jc w:val="right"/>
              <w:rPr>
                <w:color w:val="000000"/>
                <w:sz w:val="20"/>
                <w:szCs w:val="20"/>
              </w:rPr>
            </w:pPr>
            <w:r w:rsidRPr="003C3829">
              <w:rPr>
                <w:color w:val="000000"/>
                <w:sz w:val="20"/>
                <w:szCs w:val="20"/>
              </w:rPr>
              <w:t>44063</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8A19EF" w:rsidRPr="003C3829" w:rsidRDefault="008A19EF" w:rsidP="003C3829">
            <w:pPr>
              <w:spacing w:line="240" w:lineRule="auto"/>
              <w:contextualSpacing/>
              <w:jc w:val="right"/>
              <w:rPr>
                <w:color w:val="000000"/>
                <w:sz w:val="20"/>
                <w:szCs w:val="20"/>
              </w:rPr>
            </w:pPr>
            <w:r w:rsidRPr="003C3829">
              <w:rPr>
                <w:color w:val="000000"/>
                <w:sz w:val="20"/>
                <w:szCs w:val="20"/>
              </w:rPr>
              <w:t>44251</w:t>
            </w:r>
          </w:p>
        </w:tc>
        <w:tc>
          <w:tcPr>
            <w:tcW w:w="1119" w:type="dxa"/>
            <w:tcBorders>
              <w:top w:val="single" w:sz="4" w:space="0" w:color="auto"/>
              <w:left w:val="nil"/>
              <w:bottom w:val="single" w:sz="4" w:space="0" w:color="auto"/>
              <w:right w:val="single" w:sz="18" w:space="0" w:color="auto"/>
            </w:tcBorders>
            <w:shd w:val="clear" w:color="auto" w:fill="auto"/>
            <w:noWrap/>
            <w:vAlign w:val="center"/>
            <w:hideMark/>
          </w:tcPr>
          <w:p w:rsidR="008A19EF" w:rsidRPr="003C3829" w:rsidRDefault="008A19EF" w:rsidP="003C3829">
            <w:pPr>
              <w:spacing w:line="240" w:lineRule="auto"/>
              <w:contextualSpacing/>
              <w:jc w:val="right"/>
              <w:rPr>
                <w:color w:val="000000"/>
                <w:sz w:val="20"/>
                <w:szCs w:val="20"/>
              </w:rPr>
            </w:pPr>
            <w:r w:rsidRPr="003C3829">
              <w:rPr>
                <w:color w:val="000000"/>
                <w:sz w:val="20"/>
                <w:szCs w:val="20"/>
              </w:rPr>
              <w:t>46461</w:t>
            </w:r>
          </w:p>
        </w:tc>
      </w:tr>
      <w:tr w:rsidR="008A19EF" w:rsidRPr="00344365" w:rsidTr="00136606">
        <w:trPr>
          <w:trHeight w:val="300"/>
        </w:trPr>
        <w:tc>
          <w:tcPr>
            <w:tcW w:w="2940" w:type="dxa"/>
            <w:tcBorders>
              <w:top w:val="single" w:sz="4" w:space="0" w:color="auto"/>
              <w:left w:val="single" w:sz="18" w:space="0" w:color="auto"/>
              <w:bottom w:val="single" w:sz="18" w:space="0" w:color="auto"/>
              <w:right w:val="single" w:sz="4" w:space="0" w:color="auto"/>
            </w:tcBorders>
            <w:shd w:val="clear" w:color="auto" w:fill="auto"/>
            <w:noWrap/>
            <w:vAlign w:val="center"/>
            <w:hideMark/>
          </w:tcPr>
          <w:p w:rsidR="008A19EF" w:rsidRPr="003C3829" w:rsidRDefault="008A19EF" w:rsidP="003C3829">
            <w:pPr>
              <w:spacing w:line="240" w:lineRule="auto"/>
              <w:contextualSpacing/>
              <w:rPr>
                <w:color w:val="000000"/>
                <w:sz w:val="20"/>
                <w:szCs w:val="20"/>
              </w:rPr>
            </w:pPr>
            <w:r w:rsidRPr="003C3829">
              <w:rPr>
                <w:color w:val="000000"/>
                <w:sz w:val="20"/>
                <w:szCs w:val="20"/>
              </w:rPr>
              <w:t>Nitriansky kraj</w:t>
            </w:r>
          </w:p>
        </w:tc>
        <w:tc>
          <w:tcPr>
            <w:tcW w:w="1200" w:type="dxa"/>
            <w:tcBorders>
              <w:top w:val="single" w:sz="4" w:space="0" w:color="auto"/>
              <w:left w:val="nil"/>
              <w:bottom w:val="single" w:sz="18" w:space="0" w:color="auto"/>
              <w:right w:val="single" w:sz="4" w:space="0" w:color="auto"/>
            </w:tcBorders>
            <w:shd w:val="clear" w:color="auto" w:fill="auto"/>
            <w:noWrap/>
            <w:vAlign w:val="center"/>
            <w:hideMark/>
          </w:tcPr>
          <w:p w:rsidR="008A19EF" w:rsidRPr="003C3829" w:rsidRDefault="008A19EF" w:rsidP="003C3829">
            <w:pPr>
              <w:spacing w:line="240" w:lineRule="auto"/>
              <w:contextualSpacing/>
              <w:jc w:val="right"/>
              <w:rPr>
                <w:color w:val="000000"/>
                <w:sz w:val="20"/>
                <w:szCs w:val="20"/>
              </w:rPr>
            </w:pPr>
            <w:r w:rsidRPr="003C3829">
              <w:rPr>
                <w:color w:val="000000"/>
                <w:sz w:val="20"/>
                <w:szCs w:val="20"/>
              </w:rPr>
              <w:t>44932</w:t>
            </w:r>
          </w:p>
        </w:tc>
        <w:tc>
          <w:tcPr>
            <w:tcW w:w="1200" w:type="dxa"/>
            <w:tcBorders>
              <w:top w:val="single" w:sz="4" w:space="0" w:color="auto"/>
              <w:left w:val="nil"/>
              <w:bottom w:val="single" w:sz="18" w:space="0" w:color="auto"/>
              <w:right w:val="single" w:sz="4" w:space="0" w:color="auto"/>
            </w:tcBorders>
            <w:shd w:val="clear" w:color="auto" w:fill="auto"/>
            <w:noWrap/>
            <w:vAlign w:val="center"/>
            <w:hideMark/>
          </w:tcPr>
          <w:p w:rsidR="008A19EF" w:rsidRPr="003C3829" w:rsidRDefault="008A19EF" w:rsidP="003C3829">
            <w:pPr>
              <w:spacing w:line="240" w:lineRule="auto"/>
              <w:contextualSpacing/>
              <w:jc w:val="right"/>
              <w:rPr>
                <w:color w:val="000000"/>
                <w:sz w:val="20"/>
                <w:szCs w:val="20"/>
              </w:rPr>
            </w:pPr>
            <w:r w:rsidRPr="003C3829">
              <w:rPr>
                <w:color w:val="000000"/>
                <w:sz w:val="20"/>
                <w:szCs w:val="20"/>
              </w:rPr>
              <w:t>46160</w:t>
            </w:r>
          </w:p>
        </w:tc>
        <w:tc>
          <w:tcPr>
            <w:tcW w:w="1200" w:type="dxa"/>
            <w:tcBorders>
              <w:top w:val="single" w:sz="4" w:space="0" w:color="auto"/>
              <w:left w:val="nil"/>
              <w:bottom w:val="single" w:sz="18" w:space="0" w:color="auto"/>
              <w:right w:val="single" w:sz="4" w:space="0" w:color="auto"/>
            </w:tcBorders>
            <w:shd w:val="clear" w:color="auto" w:fill="auto"/>
            <w:noWrap/>
            <w:vAlign w:val="center"/>
            <w:hideMark/>
          </w:tcPr>
          <w:p w:rsidR="008A19EF" w:rsidRPr="003C3829" w:rsidRDefault="008A19EF" w:rsidP="003C3829">
            <w:pPr>
              <w:spacing w:line="240" w:lineRule="auto"/>
              <w:contextualSpacing/>
              <w:jc w:val="right"/>
              <w:rPr>
                <w:color w:val="000000"/>
                <w:sz w:val="20"/>
                <w:szCs w:val="20"/>
              </w:rPr>
            </w:pPr>
            <w:r w:rsidRPr="003C3829">
              <w:rPr>
                <w:color w:val="000000"/>
                <w:sz w:val="20"/>
                <w:szCs w:val="20"/>
              </w:rPr>
              <w:t>48849</w:t>
            </w:r>
          </w:p>
        </w:tc>
        <w:tc>
          <w:tcPr>
            <w:tcW w:w="1200" w:type="dxa"/>
            <w:tcBorders>
              <w:top w:val="single" w:sz="4" w:space="0" w:color="auto"/>
              <w:left w:val="nil"/>
              <w:bottom w:val="single" w:sz="18" w:space="0" w:color="auto"/>
              <w:right w:val="single" w:sz="4" w:space="0" w:color="auto"/>
            </w:tcBorders>
            <w:shd w:val="clear" w:color="auto" w:fill="auto"/>
            <w:noWrap/>
            <w:vAlign w:val="center"/>
            <w:hideMark/>
          </w:tcPr>
          <w:p w:rsidR="008A19EF" w:rsidRPr="003C3829" w:rsidRDefault="008A19EF" w:rsidP="003C3829">
            <w:pPr>
              <w:spacing w:line="240" w:lineRule="auto"/>
              <w:contextualSpacing/>
              <w:jc w:val="right"/>
              <w:rPr>
                <w:color w:val="000000"/>
                <w:sz w:val="20"/>
                <w:szCs w:val="20"/>
              </w:rPr>
            </w:pPr>
            <w:r w:rsidRPr="003C3829">
              <w:rPr>
                <w:color w:val="000000"/>
                <w:sz w:val="20"/>
                <w:szCs w:val="20"/>
              </w:rPr>
              <w:t>50088</w:t>
            </w:r>
          </w:p>
        </w:tc>
        <w:tc>
          <w:tcPr>
            <w:tcW w:w="1119" w:type="dxa"/>
            <w:tcBorders>
              <w:top w:val="single" w:sz="4" w:space="0" w:color="auto"/>
              <w:left w:val="nil"/>
              <w:bottom w:val="single" w:sz="18" w:space="0" w:color="auto"/>
              <w:right w:val="single" w:sz="18" w:space="0" w:color="auto"/>
            </w:tcBorders>
            <w:shd w:val="clear" w:color="auto" w:fill="auto"/>
            <w:noWrap/>
            <w:vAlign w:val="center"/>
            <w:hideMark/>
          </w:tcPr>
          <w:p w:rsidR="008A19EF" w:rsidRPr="003C3829" w:rsidRDefault="008A19EF" w:rsidP="003C3829">
            <w:pPr>
              <w:spacing w:line="240" w:lineRule="auto"/>
              <w:contextualSpacing/>
              <w:jc w:val="right"/>
              <w:rPr>
                <w:color w:val="000000"/>
                <w:sz w:val="20"/>
                <w:szCs w:val="20"/>
              </w:rPr>
            </w:pPr>
            <w:r w:rsidRPr="003C3829">
              <w:rPr>
                <w:color w:val="000000"/>
                <w:sz w:val="20"/>
                <w:szCs w:val="20"/>
              </w:rPr>
              <w:t>52830</w:t>
            </w:r>
          </w:p>
        </w:tc>
      </w:tr>
      <w:tr w:rsidR="008A19EF" w:rsidRPr="00344365" w:rsidTr="00136606">
        <w:trPr>
          <w:trHeight w:val="300"/>
        </w:trPr>
        <w:tc>
          <w:tcPr>
            <w:tcW w:w="2940" w:type="dxa"/>
            <w:tcBorders>
              <w:top w:val="single" w:sz="18" w:space="0" w:color="auto"/>
              <w:left w:val="single" w:sz="18" w:space="0" w:color="auto"/>
              <w:bottom w:val="single" w:sz="18" w:space="0" w:color="auto"/>
              <w:right w:val="single" w:sz="4" w:space="0" w:color="auto"/>
            </w:tcBorders>
            <w:shd w:val="clear" w:color="auto" w:fill="FFFF00"/>
            <w:noWrap/>
            <w:vAlign w:val="center"/>
            <w:hideMark/>
          </w:tcPr>
          <w:p w:rsidR="008A19EF" w:rsidRPr="003C3829" w:rsidRDefault="008A19EF" w:rsidP="003C3829">
            <w:pPr>
              <w:spacing w:line="240" w:lineRule="auto"/>
              <w:contextualSpacing/>
              <w:rPr>
                <w:color w:val="000000"/>
                <w:sz w:val="20"/>
                <w:szCs w:val="20"/>
              </w:rPr>
            </w:pPr>
            <w:r w:rsidRPr="003C3829">
              <w:rPr>
                <w:color w:val="000000"/>
                <w:sz w:val="20"/>
                <w:szCs w:val="20"/>
              </w:rPr>
              <w:t>Stredné Slovensko</w:t>
            </w:r>
          </w:p>
        </w:tc>
        <w:tc>
          <w:tcPr>
            <w:tcW w:w="1200" w:type="dxa"/>
            <w:tcBorders>
              <w:top w:val="single" w:sz="18" w:space="0" w:color="auto"/>
              <w:left w:val="nil"/>
              <w:bottom w:val="single" w:sz="18" w:space="0" w:color="auto"/>
              <w:right w:val="single" w:sz="4" w:space="0" w:color="auto"/>
            </w:tcBorders>
            <w:shd w:val="clear" w:color="auto" w:fill="FFFF00"/>
            <w:noWrap/>
            <w:vAlign w:val="center"/>
            <w:hideMark/>
          </w:tcPr>
          <w:p w:rsidR="008A19EF" w:rsidRPr="003C3829" w:rsidRDefault="008A19EF" w:rsidP="003C3829">
            <w:pPr>
              <w:spacing w:line="240" w:lineRule="auto"/>
              <w:contextualSpacing/>
              <w:jc w:val="right"/>
              <w:rPr>
                <w:color w:val="000000"/>
                <w:sz w:val="20"/>
                <w:szCs w:val="20"/>
              </w:rPr>
            </w:pPr>
            <w:r w:rsidRPr="003C3829">
              <w:rPr>
                <w:color w:val="000000"/>
                <w:sz w:val="20"/>
                <w:szCs w:val="20"/>
              </w:rPr>
              <w:t>89577</w:t>
            </w:r>
          </w:p>
        </w:tc>
        <w:tc>
          <w:tcPr>
            <w:tcW w:w="1200" w:type="dxa"/>
            <w:tcBorders>
              <w:top w:val="single" w:sz="18" w:space="0" w:color="auto"/>
              <w:left w:val="nil"/>
              <w:bottom w:val="single" w:sz="18" w:space="0" w:color="auto"/>
              <w:right w:val="single" w:sz="4" w:space="0" w:color="auto"/>
            </w:tcBorders>
            <w:shd w:val="clear" w:color="auto" w:fill="FFFF00"/>
            <w:noWrap/>
            <w:vAlign w:val="center"/>
            <w:hideMark/>
          </w:tcPr>
          <w:p w:rsidR="008A19EF" w:rsidRPr="003C3829" w:rsidRDefault="008A19EF" w:rsidP="003C3829">
            <w:pPr>
              <w:spacing w:line="240" w:lineRule="auto"/>
              <w:contextualSpacing/>
              <w:jc w:val="right"/>
              <w:rPr>
                <w:color w:val="000000"/>
                <w:sz w:val="20"/>
                <w:szCs w:val="20"/>
              </w:rPr>
            </w:pPr>
            <w:r w:rsidRPr="003C3829">
              <w:rPr>
                <w:color w:val="000000"/>
                <w:sz w:val="20"/>
                <w:szCs w:val="20"/>
              </w:rPr>
              <w:t>92837</w:t>
            </w:r>
          </w:p>
        </w:tc>
        <w:tc>
          <w:tcPr>
            <w:tcW w:w="1200" w:type="dxa"/>
            <w:tcBorders>
              <w:top w:val="single" w:sz="18" w:space="0" w:color="auto"/>
              <w:left w:val="nil"/>
              <w:bottom w:val="single" w:sz="18" w:space="0" w:color="auto"/>
              <w:right w:val="single" w:sz="4" w:space="0" w:color="auto"/>
            </w:tcBorders>
            <w:shd w:val="clear" w:color="auto" w:fill="FFFF00"/>
            <w:noWrap/>
            <w:vAlign w:val="center"/>
            <w:hideMark/>
          </w:tcPr>
          <w:p w:rsidR="008A19EF" w:rsidRPr="003C3829" w:rsidRDefault="008A19EF" w:rsidP="003C3829">
            <w:pPr>
              <w:spacing w:line="240" w:lineRule="auto"/>
              <w:contextualSpacing/>
              <w:jc w:val="right"/>
              <w:rPr>
                <w:color w:val="000000"/>
                <w:sz w:val="20"/>
                <w:szCs w:val="20"/>
              </w:rPr>
            </w:pPr>
            <w:r w:rsidRPr="003C3829">
              <w:rPr>
                <w:color w:val="000000"/>
                <w:sz w:val="20"/>
                <w:szCs w:val="20"/>
              </w:rPr>
              <w:t>97491</w:t>
            </w:r>
          </w:p>
        </w:tc>
        <w:tc>
          <w:tcPr>
            <w:tcW w:w="1200" w:type="dxa"/>
            <w:tcBorders>
              <w:top w:val="single" w:sz="18" w:space="0" w:color="auto"/>
              <w:left w:val="nil"/>
              <w:bottom w:val="single" w:sz="18" w:space="0" w:color="auto"/>
              <w:right w:val="single" w:sz="4" w:space="0" w:color="auto"/>
            </w:tcBorders>
            <w:shd w:val="clear" w:color="auto" w:fill="FFFF00"/>
            <w:noWrap/>
            <w:vAlign w:val="center"/>
            <w:hideMark/>
          </w:tcPr>
          <w:p w:rsidR="008A19EF" w:rsidRPr="003C3829" w:rsidRDefault="008A19EF" w:rsidP="003C3829">
            <w:pPr>
              <w:spacing w:line="240" w:lineRule="auto"/>
              <w:contextualSpacing/>
              <w:jc w:val="right"/>
              <w:rPr>
                <w:color w:val="000000"/>
                <w:sz w:val="20"/>
                <w:szCs w:val="20"/>
              </w:rPr>
            </w:pPr>
            <w:r w:rsidRPr="003C3829">
              <w:rPr>
                <w:color w:val="000000"/>
                <w:sz w:val="20"/>
                <w:szCs w:val="20"/>
              </w:rPr>
              <w:t>100479</w:t>
            </w:r>
          </w:p>
        </w:tc>
        <w:tc>
          <w:tcPr>
            <w:tcW w:w="1119" w:type="dxa"/>
            <w:tcBorders>
              <w:top w:val="single" w:sz="18" w:space="0" w:color="auto"/>
              <w:left w:val="nil"/>
              <w:bottom w:val="single" w:sz="18" w:space="0" w:color="auto"/>
              <w:right w:val="single" w:sz="18" w:space="0" w:color="auto"/>
            </w:tcBorders>
            <w:shd w:val="clear" w:color="auto" w:fill="FFFF00"/>
            <w:noWrap/>
            <w:vAlign w:val="center"/>
            <w:hideMark/>
          </w:tcPr>
          <w:p w:rsidR="008A19EF" w:rsidRPr="003C3829" w:rsidRDefault="008A19EF" w:rsidP="003C3829">
            <w:pPr>
              <w:spacing w:line="240" w:lineRule="auto"/>
              <w:contextualSpacing/>
              <w:jc w:val="right"/>
              <w:rPr>
                <w:color w:val="000000"/>
                <w:sz w:val="20"/>
                <w:szCs w:val="20"/>
              </w:rPr>
            </w:pPr>
            <w:r w:rsidRPr="003C3829">
              <w:rPr>
                <w:color w:val="000000"/>
                <w:sz w:val="20"/>
                <w:szCs w:val="20"/>
              </w:rPr>
              <w:t>104875</w:t>
            </w:r>
          </w:p>
        </w:tc>
      </w:tr>
      <w:tr w:rsidR="008A19EF" w:rsidRPr="00344365" w:rsidTr="00136606">
        <w:trPr>
          <w:trHeight w:val="300"/>
        </w:trPr>
        <w:tc>
          <w:tcPr>
            <w:tcW w:w="2940" w:type="dxa"/>
            <w:tcBorders>
              <w:top w:val="single" w:sz="18" w:space="0" w:color="auto"/>
              <w:left w:val="single" w:sz="18" w:space="0" w:color="auto"/>
              <w:bottom w:val="single" w:sz="4" w:space="0" w:color="auto"/>
              <w:right w:val="single" w:sz="4" w:space="0" w:color="auto"/>
            </w:tcBorders>
            <w:shd w:val="clear" w:color="auto" w:fill="auto"/>
            <w:noWrap/>
            <w:vAlign w:val="center"/>
            <w:hideMark/>
          </w:tcPr>
          <w:p w:rsidR="008A19EF" w:rsidRPr="003C3829" w:rsidRDefault="008A19EF" w:rsidP="003C3829">
            <w:pPr>
              <w:spacing w:line="240" w:lineRule="auto"/>
              <w:contextualSpacing/>
              <w:rPr>
                <w:color w:val="000000"/>
                <w:sz w:val="20"/>
                <w:szCs w:val="20"/>
              </w:rPr>
            </w:pPr>
            <w:r w:rsidRPr="003C3829">
              <w:rPr>
                <w:color w:val="000000"/>
                <w:sz w:val="20"/>
                <w:szCs w:val="20"/>
              </w:rPr>
              <w:t>Žilinský kraj</w:t>
            </w:r>
          </w:p>
        </w:tc>
        <w:tc>
          <w:tcPr>
            <w:tcW w:w="1200" w:type="dxa"/>
            <w:tcBorders>
              <w:top w:val="single" w:sz="18" w:space="0" w:color="auto"/>
              <w:left w:val="nil"/>
              <w:bottom w:val="single" w:sz="4" w:space="0" w:color="auto"/>
              <w:right w:val="single" w:sz="4" w:space="0" w:color="auto"/>
            </w:tcBorders>
            <w:shd w:val="clear" w:color="auto" w:fill="auto"/>
            <w:noWrap/>
            <w:vAlign w:val="center"/>
            <w:hideMark/>
          </w:tcPr>
          <w:p w:rsidR="008A19EF" w:rsidRPr="003C3829" w:rsidRDefault="008A19EF" w:rsidP="003C3829">
            <w:pPr>
              <w:spacing w:line="240" w:lineRule="auto"/>
              <w:contextualSpacing/>
              <w:jc w:val="right"/>
              <w:rPr>
                <w:color w:val="000000"/>
                <w:sz w:val="20"/>
                <w:szCs w:val="20"/>
              </w:rPr>
            </w:pPr>
            <w:r w:rsidRPr="003C3829">
              <w:rPr>
                <w:color w:val="000000"/>
                <w:sz w:val="20"/>
                <w:szCs w:val="20"/>
              </w:rPr>
              <w:t>51092</w:t>
            </w:r>
          </w:p>
        </w:tc>
        <w:tc>
          <w:tcPr>
            <w:tcW w:w="1200" w:type="dxa"/>
            <w:tcBorders>
              <w:top w:val="single" w:sz="18" w:space="0" w:color="auto"/>
              <w:left w:val="nil"/>
              <w:bottom w:val="single" w:sz="4" w:space="0" w:color="auto"/>
              <w:right w:val="single" w:sz="4" w:space="0" w:color="auto"/>
            </w:tcBorders>
            <w:shd w:val="clear" w:color="auto" w:fill="auto"/>
            <w:noWrap/>
            <w:vAlign w:val="center"/>
            <w:hideMark/>
          </w:tcPr>
          <w:p w:rsidR="008A19EF" w:rsidRPr="003C3829" w:rsidRDefault="008A19EF" w:rsidP="003C3829">
            <w:pPr>
              <w:spacing w:line="240" w:lineRule="auto"/>
              <w:contextualSpacing/>
              <w:jc w:val="right"/>
              <w:rPr>
                <w:color w:val="000000"/>
                <w:sz w:val="20"/>
                <w:szCs w:val="20"/>
              </w:rPr>
            </w:pPr>
            <w:r w:rsidRPr="003C3829">
              <w:rPr>
                <w:color w:val="000000"/>
                <w:sz w:val="20"/>
                <w:szCs w:val="20"/>
              </w:rPr>
              <w:t>52761</w:t>
            </w:r>
          </w:p>
        </w:tc>
        <w:tc>
          <w:tcPr>
            <w:tcW w:w="1200" w:type="dxa"/>
            <w:tcBorders>
              <w:top w:val="single" w:sz="18" w:space="0" w:color="auto"/>
              <w:left w:val="nil"/>
              <w:bottom w:val="single" w:sz="4" w:space="0" w:color="auto"/>
              <w:right w:val="single" w:sz="4" w:space="0" w:color="auto"/>
            </w:tcBorders>
            <w:shd w:val="clear" w:color="auto" w:fill="auto"/>
            <w:noWrap/>
            <w:vAlign w:val="center"/>
            <w:hideMark/>
          </w:tcPr>
          <w:p w:rsidR="008A19EF" w:rsidRPr="003C3829" w:rsidRDefault="008A19EF" w:rsidP="003C3829">
            <w:pPr>
              <w:spacing w:line="240" w:lineRule="auto"/>
              <w:contextualSpacing/>
              <w:jc w:val="right"/>
              <w:rPr>
                <w:color w:val="000000"/>
                <w:sz w:val="20"/>
                <w:szCs w:val="20"/>
              </w:rPr>
            </w:pPr>
            <w:r w:rsidRPr="003C3829">
              <w:rPr>
                <w:color w:val="000000"/>
                <w:sz w:val="20"/>
                <w:szCs w:val="20"/>
              </w:rPr>
              <w:t>55293</w:t>
            </w:r>
          </w:p>
        </w:tc>
        <w:tc>
          <w:tcPr>
            <w:tcW w:w="1200" w:type="dxa"/>
            <w:tcBorders>
              <w:top w:val="single" w:sz="18" w:space="0" w:color="auto"/>
              <w:left w:val="nil"/>
              <w:bottom w:val="single" w:sz="4" w:space="0" w:color="auto"/>
              <w:right w:val="single" w:sz="4" w:space="0" w:color="auto"/>
            </w:tcBorders>
            <w:shd w:val="clear" w:color="auto" w:fill="auto"/>
            <w:noWrap/>
            <w:vAlign w:val="center"/>
            <w:hideMark/>
          </w:tcPr>
          <w:p w:rsidR="008A19EF" w:rsidRPr="003C3829" w:rsidRDefault="008A19EF" w:rsidP="003C3829">
            <w:pPr>
              <w:spacing w:line="240" w:lineRule="auto"/>
              <w:contextualSpacing/>
              <w:jc w:val="right"/>
              <w:rPr>
                <w:color w:val="000000"/>
                <w:sz w:val="20"/>
                <w:szCs w:val="20"/>
              </w:rPr>
            </w:pPr>
            <w:r w:rsidRPr="003C3829">
              <w:rPr>
                <w:color w:val="000000"/>
                <w:sz w:val="20"/>
                <w:szCs w:val="20"/>
              </w:rPr>
              <w:t>57121</w:t>
            </w:r>
          </w:p>
        </w:tc>
        <w:tc>
          <w:tcPr>
            <w:tcW w:w="1119" w:type="dxa"/>
            <w:tcBorders>
              <w:top w:val="single" w:sz="18" w:space="0" w:color="auto"/>
              <w:left w:val="nil"/>
              <w:bottom w:val="single" w:sz="4" w:space="0" w:color="auto"/>
              <w:right w:val="single" w:sz="18" w:space="0" w:color="auto"/>
            </w:tcBorders>
            <w:shd w:val="clear" w:color="auto" w:fill="auto"/>
            <w:noWrap/>
            <w:vAlign w:val="center"/>
            <w:hideMark/>
          </w:tcPr>
          <w:p w:rsidR="008A19EF" w:rsidRPr="003C3829" w:rsidRDefault="008A19EF" w:rsidP="003C3829">
            <w:pPr>
              <w:spacing w:line="240" w:lineRule="auto"/>
              <w:contextualSpacing/>
              <w:jc w:val="right"/>
              <w:rPr>
                <w:color w:val="000000"/>
                <w:sz w:val="20"/>
                <w:szCs w:val="20"/>
              </w:rPr>
            </w:pPr>
            <w:r w:rsidRPr="003C3829">
              <w:rPr>
                <w:color w:val="000000"/>
                <w:sz w:val="20"/>
                <w:szCs w:val="20"/>
              </w:rPr>
              <w:t>59830</w:t>
            </w:r>
          </w:p>
        </w:tc>
      </w:tr>
      <w:tr w:rsidR="008A19EF" w:rsidRPr="00344365" w:rsidTr="00136606">
        <w:trPr>
          <w:trHeight w:val="300"/>
        </w:trPr>
        <w:tc>
          <w:tcPr>
            <w:tcW w:w="2940" w:type="dxa"/>
            <w:tcBorders>
              <w:top w:val="single" w:sz="4" w:space="0" w:color="auto"/>
              <w:left w:val="single" w:sz="18" w:space="0" w:color="auto"/>
              <w:bottom w:val="single" w:sz="18" w:space="0" w:color="auto"/>
              <w:right w:val="single" w:sz="4" w:space="0" w:color="auto"/>
            </w:tcBorders>
            <w:shd w:val="clear" w:color="auto" w:fill="auto"/>
            <w:noWrap/>
            <w:vAlign w:val="center"/>
            <w:hideMark/>
          </w:tcPr>
          <w:p w:rsidR="008A19EF" w:rsidRPr="003C3829" w:rsidRDefault="008A19EF" w:rsidP="003C3829">
            <w:pPr>
              <w:spacing w:line="240" w:lineRule="auto"/>
              <w:contextualSpacing/>
              <w:rPr>
                <w:color w:val="000000"/>
                <w:sz w:val="20"/>
                <w:szCs w:val="20"/>
              </w:rPr>
            </w:pPr>
            <w:r w:rsidRPr="003C3829">
              <w:rPr>
                <w:color w:val="000000"/>
                <w:sz w:val="20"/>
                <w:szCs w:val="20"/>
              </w:rPr>
              <w:t>Banskobystrický kraj</w:t>
            </w:r>
          </w:p>
        </w:tc>
        <w:tc>
          <w:tcPr>
            <w:tcW w:w="1200" w:type="dxa"/>
            <w:tcBorders>
              <w:top w:val="single" w:sz="4" w:space="0" w:color="auto"/>
              <w:left w:val="nil"/>
              <w:bottom w:val="single" w:sz="18" w:space="0" w:color="auto"/>
              <w:right w:val="single" w:sz="4" w:space="0" w:color="auto"/>
            </w:tcBorders>
            <w:shd w:val="clear" w:color="auto" w:fill="auto"/>
            <w:noWrap/>
            <w:vAlign w:val="center"/>
            <w:hideMark/>
          </w:tcPr>
          <w:p w:rsidR="008A19EF" w:rsidRPr="003C3829" w:rsidRDefault="008A19EF" w:rsidP="003C3829">
            <w:pPr>
              <w:spacing w:line="240" w:lineRule="auto"/>
              <w:contextualSpacing/>
              <w:jc w:val="right"/>
              <w:rPr>
                <w:color w:val="000000"/>
                <w:sz w:val="20"/>
                <w:szCs w:val="20"/>
              </w:rPr>
            </w:pPr>
            <w:r w:rsidRPr="003C3829">
              <w:rPr>
                <w:color w:val="000000"/>
                <w:sz w:val="20"/>
                <w:szCs w:val="20"/>
              </w:rPr>
              <w:t>38485</w:t>
            </w:r>
          </w:p>
        </w:tc>
        <w:tc>
          <w:tcPr>
            <w:tcW w:w="1200" w:type="dxa"/>
            <w:tcBorders>
              <w:top w:val="single" w:sz="4" w:space="0" w:color="auto"/>
              <w:left w:val="nil"/>
              <w:bottom w:val="single" w:sz="18" w:space="0" w:color="auto"/>
              <w:right w:val="single" w:sz="4" w:space="0" w:color="auto"/>
            </w:tcBorders>
            <w:shd w:val="clear" w:color="auto" w:fill="auto"/>
            <w:noWrap/>
            <w:vAlign w:val="center"/>
            <w:hideMark/>
          </w:tcPr>
          <w:p w:rsidR="008A19EF" w:rsidRPr="003C3829" w:rsidRDefault="008A19EF" w:rsidP="003C3829">
            <w:pPr>
              <w:spacing w:line="240" w:lineRule="auto"/>
              <w:contextualSpacing/>
              <w:jc w:val="right"/>
              <w:rPr>
                <w:color w:val="000000"/>
                <w:sz w:val="20"/>
                <w:szCs w:val="20"/>
              </w:rPr>
            </w:pPr>
            <w:r w:rsidRPr="003C3829">
              <w:rPr>
                <w:color w:val="000000"/>
                <w:sz w:val="20"/>
                <w:szCs w:val="20"/>
              </w:rPr>
              <w:t>40076</w:t>
            </w:r>
          </w:p>
        </w:tc>
        <w:tc>
          <w:tcPr>
            <w:tcW w:w="1200" w:type="dxa"/>
            <w:tcBorders>
              <w:top w:val="single" w:sz="4" w:space="0" w:color="auto"/>
              <w:left w:val="nil"/>
              <w:bottom w:val="single" w:sz="18" w:space="0" w:color="auto"/>
              <w:right w:val="single" w:sz="4" w:space="0" w:color="auto"/>
            </w:tcBorders>
            <w:shd w:val="clear" w:color="auto" w:fill="auto"/>
            <w:noWrap/>
            <w:vAlign w:val="center"/>
            <w:hideMark/>
          </w:tcPr>
          <w:p w:rsidR="008A19EF" w:rsidRPr="003C3829" w:rsidRDefault="008A19EF" w:rsidP="003C3829">
            <w:pPr>
              <w:spacing w:line="240" w:lineRule="auto"/>
              <w:contextualSpacing/>
              <w:jc w:val="right"/>
              <w:rPr>
                <w:color w:val="000000"/>
                <w:sz w:val="20"/>
                <w:szCs w:val="20"/>
              </w:rPr>
            </w:pPr>
            <w:r w:rsidRPr="003C3829">
              <w:rPr>
                <w:color w:val="000000"/>
                <w:sz w:val="20"/>
                <w:szCs w:val="20"/>
              </w:rPr>
              <w:t>42198</w:t>
            </w:r>
          </w:p>
        </w:tc>
        <w:tc>
          <w:tcPr>
            <w:tcW w:w="1200" w:type="dxa"/>
            <w:tcBorders>
              <w:top w:val="single" w:sz="4" w:space="0" w:color="auto"/>
              <w:left w:val="nil"/>
              <w:bottom w:val="single" w:sz="18" w:space="0" w:color="auto"/>
              <w:right w:val="single" w:sz="4" w:space="0" w:color="auto"/>
            </w:tcBorders>
            <w:shd w:val="clear" w:color="auto" w:fill="auto"/>
            <w:noWrap/>
            <w:vAlign w:val="center"/>
            <w:hideMark/>
          </w:tcPr>
          <w:p w:rsidR="008A19EF" w:rsidRPr="003C3829" w:rsidRDefault="008A19EF" w:rsidP="003C3829">
            <w:pPr>
              <w:spacing w:line="240" w:lineRule="auto"/>
              <w:contextualSpacing/>
              <w:jc w:val="right"/>
              <w:rPr>
                <w:color w:val="000000"/>
                <w:sz w:val="20"/>
                <w:szCs w:val="20"/>
              </w:rPr>
            </w:pPr>
            <w:r w:rsidRPr="003C3829">
              <w:rPr>
                <w:color w:val="000000"/>
                <w:sz w:val="20"/>
                <w:szCs w:val="20"/>
              </w:rPr>
              <w:t>43358</w:t>
            </w:r>
          </w:p>
        </w:tc>
        <w:tc>
          <w:tcPr>
            <w:tcW w:w="1119" w:type="dxa"/>
            <w:tcBorders>
              <w:top w:val="single" w:sz="4" w:space="0" w:color="auto"/>
              <w:left w:val="nil"/>
              <w:bottom w:val="single" w:sz="18" w:space="0" w:color="auto"/>
              <w:right w:val="single" w:sz="18" w:space="0" w:color="auto"/>
            </w:tcBorders>
            <w:shd w:val="clear" w:color="auto" w:fill="auto"/>
            <w:noWrap/>
            <w:vAlign w:val="center"/>
            <w:hideMark/>
          </w:tcPr>
          <w:p w:rsidR="008A19EF" w:rsidRPr="003C3829" w:rsidRDefault="008A19EF" w:rsidP="003C3829">
            <w:pPr>
              <w:spacing w:line="240" w:lineRule="auto"/>
              <w:contextualSpacing/>
              <w:jc w:val="right"/>
              <w:rPr>
                <w:color w:val="000000"/>
                <w:sz w:val="20"/>
                <w:szCs w:val="20"/>
              </w:rPr>
            </w:pPr>
            <w:r w:rsidRPr="003C3829">
              <w:rPr>
                <w:color w:val="000000"/>
                <w:sz w:val="20"/>
                <w:szCs w:val="20"/>
              </w:rPr>
              <w:t>45045</w:t>
            </w:r>
          </w:p>
        </w:tc>
      </w:tr>
      <w:tr w:rsidR="008A19EF" w:rsidRPr="00344365" w:rsidTr="00136606">
        <w:trPr>
          <w:trHeight w:val="300"/>
        </w:trPr>
        <w:tc>
          <w:tcPr>
            <w:tcW w:w="2940" w:type="dxa"/>
            <w:tcBorders>
              <w:top w:val="single" w:sz="18" w:space="0" w:color="auto"/>
              <w:left w:val="single" w:sz="18" w:space="0" w:color="auto"/>
              <w:bottom w:val="single" w:sz="18" w:space="0" w:color="auto"/>
              <w:right w:val="single" w:sz="4" w:space="0" w:color="auto"/>
            </w:tcBorders>
            <w:shd w:val="clear" w:color="auto" w:fill="FFFF00"/>
            <w:noWrap/>
            <w:vAlign w:val="center"/>
            <w:hideMark/>
          </w:tcPr>
          <w:p w:rsidR="008A19EF" w:rsidRPr="003C3829" w:rsidRDefault="008A19EF" w:rsidP="003C3829">
            <w:pPr>
              <w:spacing w:line="240" w:lineRule="auto"/>
              <w:contextualSpacing/>
              <w:rPr>
                <w:color w:val="000000"/>
                <w:sz w:val="20"/>
                <w:szCs w:val="20"/>
              </w:rPr>
            </w:pPr>
            <w:r w:rsidRPr="003C3829">
              <w:rPr>
                <w:color w:val="000000"/>
                <w:sz w:val="20"/>
                <w:szCs w:val="20"/>
              </w:rPr>
              <w:t>Východné Slovensko</w:t>
            </w:r>
          </w:p>
        </w:tc>
        <w:tc>
          <w:tcPr>
            <w:tcW w:w="1200" w:type="dxa"/>
            <w:tcBorders>
              <w:top w:val="single" w:sz="18" w:space="0" w:color="auto"/>
              <w:left w:val="nil"/>
              <w:bottom w:val="single" w:sz="18" w:space="0" w:color="auto"/>
              <w:right w:val="single" w:sz="4" w:space="0" w:color="auto"/>
            </w:tcBorders>
            <w:shd w:val="clear" w:color="auto" w:fill="FFFF00"/>
            <w:noWrap/>
            <w:vAlign w:val="center"/>
            <w:hideMark/>
          </w:tcPr>
          <w:p w:rsidR="008A19EF" w:rsidRPr="003C3829" w:rsidRDefault="008A19EF" w:rsidP="003C3829">
            <w:pPr>
              <w:spacing w:line="240" w:lineRule="auto"/>
              <w:contextualSpacing/>
              <w:jc w:val="right"/>
              <w:rPr>
                <w:color w:val="000000"/>
                <w:sz w:val="20"/>
                <w:szCs w:val="20"/>
              </w:rPr>
            </w:pPr>
            <w:r w:rsidRPr="003C3829">
              <w:rPr>
                <w:color w:val="000000"/>
                <w:sz w:val="20"/>
                <w:szCs w:val="20"/>
              </w:rPr>
              <w:t>86878</w:t>
            </w:r>
          </w:p>
        </w:tc>
        <w:tc>
          <w:tcPr>
            <w:tcW w:w="1200" w:type="dxa"/>
            <w:tcBorders>
              <w:top w:val="single" w:sz="18" w:space="0" w:color="auto"/>
              <w:left w:val="nil"/>
              <w:bottom w:val="single" w:sz="18" w:space="0" w:color="auto"/>
              <w:right w:val="single" w:sz="4" w:space="0" w:color="auto"/>
            </w:tcBorders>
            <w:shd w:val="clear" w:color="auto" w:fill="FFFF00"/>
            <w:noWrap/>
            <w:vAlign w:val="center"/>
            <w:hideMark/>
          </w:tcPr>
          <w:p w:rsidR="008A19EF" w:rsidRPr="003C3829" w:rsidRDefault="008A19EF" w:rsidP="003C3829">
            <w:pPr>
              <w:spacing w:line="240" w:lineRule="auto"/>
              <w:contextualSpacing/>
              <w:jc w:val="right"/>
              <w:rPr>
                <w:color w:val="000000"/>
                <w:sz w:val="20"/>
                <w:szCs w:val="20"/>
              </w:rPr>
            </w:pPr>
            <w:r w:rsidRPr="003C3829">
              <w:rPr>
                <w:color w:val="000000"/>
                <w:sz w:val="20"/>
                <w:szCs w:val="20"/>
              </w:rPr>
              <w:t>87781</w:t>
            </w:r>
          </w:p>
        </w:tc>
        <w:tc>
          <w:tcPr>
            <w:tcW w:w="1200" w:type="dxa"/>
            <w:tcBorders>
              <w:top w:val="single" w:sz="18" w:space="0" w:color="auto"/>
              <w:left w:val="nil"/>
              <w:bottom w:val="single" w:sz="18" w:space="0" w:color="auto"/>
              <w:right w:val="single" w:sz="4" w:space="0" w:color="auto"/>
            </w:tcBorders>
            <w:shd w:val="clear" w:color="auto" w:fill="FFFF00"/>
            <w:noWrap/>
            <w:vAlign w:val="center"/>
            <w:hideMark/>
          </w:tcPr>
          <w:p w:rsidR="008A19EF" w:rsidRPr="003C3829" w:rsidRDefault="008A19EF" w:rsidP="003C3829">
            <w:pPr>
              <w:spacing w:line="240" w:lineRule="auto"/>
              <w:contextualSpacing/>
              <w:jc w:val="right"/>
              <w:rPr>
                <w:color w:val="000000"/>
                <w:sz w:val="20"/>
                <w:szCs w:val="20"/>
              </w:rPr>
            </w:pPr>
            <w:r w:rsidRPr="003C3829">
              <w:rPr>
                <w:color w:val="000000"/>
                <w:sz w:val="20"/>
                <w:szCs w:val="20"/>
              </w:rPr>
              <w:t>92204</w:t>
            </w:r>
          </w:p>
        </w:tc>
        <w:tc>
          <w:tcPr>
            <w:tcW w:w="1200" w:type="dxa"/>
            <w:tcBorders>
              <w:top w:val="single" w:sz="18" w:space="0" w:color="auto"/>
              <w:left w:val="nil"/>
              <w:bottom w:val="single" w:sz="18" w:space="0" w:color="auto"/>
              <w:right w:val="single" w:sz="4" w:space="0" w:color="auto"/>
            </w:tcBorders>
            <w:shd w:val="clear" w:color="auto" w:fill="FFFF00"/>
            <w:noWrap/>
            <w:vAlign w:val="center"/>
            <w:hideMark/>
          </w:tcPr>
          <w:p w:rsidR="008A19EF" w:rsidRPr="003C3829" w:rsidRDefault="008A19EF" w:rsidP="003C3829">
            <w:pPr>
              <w:spacing w:line="240" w:lineRule="auto"/>
              <w:contextualSpacing/>
              <w:jc w:val="right"/>
              <w:rPr>
                <w:color w:val="000000"/>
                <w:sz w:val="20"/>
                <w:szCs w:val="20"/>
              </w:rPr>
            </w:pPr>
            <w:r w:rsidRPr="003C3829">
              <w:rPr>
                <w:color w:val="000000"/>
                <w:sz w:val="20"/>
                <w:szCs w:val="20"/>
              </w:rPr>
              <w:t>97954</w:t>
            </w:r>
          </w:p>
        </w:tc>
        <w:tc>
          <w:tcPr>
            <w:tcW w:w="1119" w:type="dxa"/>
            <w:tcBorders>
              <w:top w:val="single" w:sz="18" w:space="0" w:color="auto"/>
              <w:left w:val="nil"/>
              <w:bottom w:val="single" w:sz="18" w:space="0" w:color="auto"/>
              <w:right w:val="single" w:sz="18" w:space="0" w:color="auto"/>
            </w:tcBorders>
            <w:shd w:val="clear" w:color="auto" w:fill="FFFF00"/>
            <w:noWrap/>
            <w:vAlign w:val="center"/>
            <w:hideMark/>
          </w:tcPr>
          <w:p w:rsidR="008A19EF" w:rsidRPr="003C3829" w:rsidRDefault="008A19EF" w:rsidP="003C3829">
            <w:pPr>
              <w:spacing w:line="240" w:lineRule="auto"/>
              <w:contextualSpacing/>
              <w:jc w:val="right"/>
              <w:rPr>
                <w:color w:val="000000"/>
                <w:sz w:val="20"/>
                <w:szCs w:val="20"/>
              </w:rPr>
            </w:pPr>
            <w:r w:rsidRPr="003C3829">
              <w:rPr>
                <w:color w:val="000000"/>
                <w:sz w:val="20"/>
                <w:szCs w:val="20"/>
              </w:rPr>
              <w:t>104912</w:t>
            </w:r>
          </w:p>
        </w:tc>
      </w:tr>
      <w:tr w:rsidR="008A19EF" w:rsidRPr="00344365" w:rsidTr="00136606">
        <w:trPr>
          <w:trHeight w:val="300"/>
        </w:trPr>
        <w:tc>
          <w:tcPr>
            <w:tcW w:w="2940" w:type="dxa"/>
            <w:tcBorders>
              <w:top w:val="single" w:sz="18" w:space="0" w:color="auto"/>
              <w:left w:val="single" w:sz="18" w:space="0" w:color="auto"/>
              <w:bottom w:val="single" w:sz="4" w:space="0" w:color="auto"/>
              <w:right w:val="single" w:sz="4" w:space="0" w:color="auto"/>
            </w:tcBorders>
            <w:shd w:val="clear" w:color="auto" w:fill="auto"/>
            <w:noWrap/>
            <w:vAlign w:val="center"/>
            <w:hideMark/>
          </w:tcPr>
          <w:p w:rsidR="008A19EF" w:rsidRPr="003C3829" w:rsidRDefault="008A19EF" w:rsidP="003C3829">
            <w:pPr>
              <w:spacing w:line="240" w:lineRule="auto"/>
              <w:contextualSpacing/>
              <w:rPr>
                <w:color w:val="000000"/>
                <w:sz w:val="20"/>
                <w:szCs w:val="20"/>
              </w:rPr>
            </w:pPr>
            <w:r w:rsidRPr="003C3829">
              <w:rPr>
                <w:color w:val="000000"/>
                <w:sz w:val="20"/>
                <w:szCs w:val="20"/>
              </w:rPr>
              <w:t>Prešovský kraj</w:t>
            </w:r>
          </w:p>
        </w:tc>
        <w:tc>
          <w:tcPr>
            <w:tcW w:w="1200" w:type="dxa"/>
            <w:tcBorders>
              <w:top w:val="single" w:sz="18" w:space="0" w:color="auto"/>
              <w:left w:val="nil"/>
              <w:bottom w:val="single" w:sz="4" w:space="0" w:color="auto"/>
              <w:right w:val="single" w:sz="4" w:space="0" w:color="auto"/>
            </w:tcBorders>
            <w:shd w:val="clear" w:color="auto" w:fill="auto"/>
            <w:noWrap/>
            <w:vAlign w:val="center"/>
            <w:hideMark/>
          </w:tcPr>
          <w:p w:rsidR="008A19EF" w:rsidRPr="003C3829" w:rsidRDefault="008A19EF" w:rsidP="003C3829">
            <w:pPr>
              <w:spacing w:line="240" w:lineRule="auto"/>
              <w:contextualSpacing/>
              <w:jc w:val="right"/>
              <w:rPr>
                <w:color w:val="000000"/>
                <w:sz w:val="20"/>
                <w:szCs w:val="20"/>
              </w:rPr>
            </w:pPr>
            <w:r w:rsidRPr="003C3829">
              <w:rPr>
                <w:color w:val="000000"/>
                <w:sz w:val="20"/>
                <w:szCs w:val="20"/>
              </w:rPr>
              <w:t>47547</w:t>
            </w:r>
          </w:p>
        </w:tc>
        <w:tc>
          <w:tcPr>
            <w:tcW w:w="1200" w:type="dxa"/>
            <w:tcBorders>
              <w:top w:val="single" w:sz="18" w:space="0" w:color="auto"/>
              <w:left w:val="nil"/>
              <w:bottom w:val="single" w:sz="4" w:space="0" w:color="auto"/>
              <w:right w:val="single" w:sz="4" w:space="0" w:color="auto"/>
            </w:tcBorders>
            <w:shd w:val="clear" w:color="auto" w:fill="auto"/>
            <w:noWrap/>
            <w:vAlign w:val="center"/>
            <w:hideMark/>
          </w:tcPr>
          <w:p w:rsidR="008A19EF" w:rsidRPr="003C3829" w:rsidRDefault="008A19EF" w:rsidP="003C3829">
            <w:pPr>
              <w:spacing w:line="240" w:lineRule="auto"/>
              <w:contextualSpacing/>
              <w:jc w:val="right"/>
              <w:rPr>
                <w:color w:val="000000"/>
                <w:sz w:val="20"/>
                <w:szCs w:val="20"/>
              </w:rPr>
            </w:pPr>
            <w:r w:rsidRPr="003C3829">
              <w:rPr>
                <w:color w:val="000000"/>
                <w:sz w:val="20"/>
                <w:szCs w:val="20"/>
              </w:rPr>
              <w:t>48592</w:t>
            </w:r>
          </w:p>
        </w:tc>
        <w:tc>
          <w:tcPr>
            <w:tcW w:w="1200" w:type="dxa"/>
            <w:tcBorders>
              <w:top w:val="single" w:sz="18" w:space="0" w:color="auto"/>
              <w:left w:val="nil"/>
              <w:bottom w:val="single" w:sz="4" w:space="0" w:color="auto"/>
              <w:right w:val="single" w:sz="4" w:space="0" w:color="auto"/>
            </w:tcBorders>
            <w:shd w:val="clear" w:color="auto" w:fill="auto"/>
            <w:noWrap/>
            <w:vAlign w:val="center"/>
            <w:hideMark/>
          </w:tcPr>
          <w:p w:rsidR="008A19EF" w:rsidRPr="003C3829" w:rsidRDefault="008A19EF" w:rsidP="003C3829">
            <w:pPr>
              <w:spacing w:line="240" w:lineRule="auto"/>
              <w:contextualSpacing/>
              <w:jc w:val="right"/>
              <w:rPr>
                <w:color w:val="000000"/>
                <w:sz w:val="20"/>
                <w:szCs w:val="20"/>
              </w:rPr>
            </w:pPr>
            <w:r w:rsidRPr="003C3829">
              <w:rPr>
                <w:color w:val="000000"/>
                <w:sz w:val="20"/>
                <w:szCs w:val="20"/>
              </w:rPr>
              <w:t>51883</w:t>
            </w:r>
          </w:p>
        </w:tc>
        <w:tc>
          <w:tcPr>
            <w:tcW w:w="1200" w:type="dxa"/>
            <w:tcBorders>
              <w:top w:val="single" w:sz="18" w:space="0" w:color="auto"/>
              <w:left w:val="nil"/>
              <w:bottom w:val="single" w:sz="4" w:space="0" w:color="auto"/>
              <w:right w:val="single" w:sz="4" w:space="0" w:color="auto"/>
            </w:tcBorders>
            <w:shd w:val="clear" w:color="auto" w:fill="auto"/>
            <w:noWrap/>
            <w:vAlign w:val="center"/>
            <w:hideMark/>
          </w:tcPr>
          <w:p w:rsidR="008A19EF" w:rsidRPr="003C3829" w:rsidRDefault="008A19EF" w:rsidP="003C3829">
            <w:pPr>
              <w:spacing w:line="240" w:lineRule="auto"/>
              <w:contextualSpacing/>
              <w:jc w:val="right"/>
              <w:rPr>
                <w:color w:val="000000"/>
                <w:sz w:val="20"/>
                <w:szCs w:val="20"/>
              </w:rPr>
            </w:pPr>
            <w:r w:rsidRPr="003C3829">
              <w:rPr>
                <w:color w:val="000000"/>
                <w:sz w:val="20"/>
                <w:szCs w:val="20"/>
              </w:rPr>
              <w:t>55741</w:t>
            </w:r>
          </w:p>
        </w:tc>
        <w:tc>
          <w:tcPr>
            <w:tcW w:w="1119" w:type="dxa"/>
            <w:tcBorders>
              <w:top w:val="single" w:sz="18" w:space="0" w:color="auto"/>
              <w:left w:val="nil"/>
              <w:bottom w:val="single" w:sz="4" w:space="0" w:color="auto"/>
              <w:right w:val="single" w:sz="18" w:space="0" w:color="auto"/>
            </w:tcBorders>
            <w:shd w:val="clear" w:color="auto" w:fill="auto"/>
            <w:noWrap/>
            <w:vAlign w:val="center"/>
            <w:hideMark/>
          </w:tcPr>
          <w:p w:rsidR="008A19EF" w:rsidRPr="003C3829" w:rsidRDefault="008A19EF" w:rsidP="003C3829">
            <w:pPr>
              <w:spacing w:line="240" w:lineRule="auto"/>
              <w:contextualSpacing/>
              <w:jc w:val="right"/>
              <w:rPr>
                <w:color w:val="000000"/>
                <w:sz w:val="20"/>
                <w:szCs w:val="20"/>
              </w:rPr>
            </w:pPr>
            <w:r w:rsidRPr="003C3829">
              <w:rPr>
                <w:color w:val="000000"/>
                <w:sz w:val="20"/>
                <w:szCs w:val="20"/>
              </w:rPr>
              <w:t>61168</w:t>
            </w:r>
          </w:p>
        </w:tc>
      </w:tr>
      <w:tr w:rsidR="008A19EF" w:rsidRPr="00344365" w:rsidTr="00136606">
        <w:trPr>
          <w:trHeight w:val="300"/>
        </w:trPr>
        <w:tc>
          <w:tcPr>
            <w:tcW w:w="2940" w:type="dxa"/>
            <w:tcBorders>
              <w:top w:val="single" w:sz="4" w:space="0" w:color="auto"/>
              <w:left w:val="single" w:sz="18" w:space="0" w:color="auto"/>
              <w:bottom w:val="single" w:sz="18" w:space="0" w:color="auto"/>
              <w:right w:val="single" w:sz="4" w:space="0" w:color="auto"/>
            </w:tcBorders>
            <w:shd w:val="clear" w:color="auto" w:fill="auto"/>
            <w:noWrap/>
            <w:vAlign w:val="center"/>
            <w:hideMark/>
          </w:tcPr>
          <w:p w:rsidR="008A19EF" w:rsidRPr="003C3829" w:rsidRDefault="008A19EF" w:rsidP="003C3829">
            <w:pPr>
              <w:spacing w:line="240" w:lineRule="auto"/>
              <w:contextualSpacing/>
              <w:rPr>
                <w:color w:val="000000"/>
                <w:sz w:val="20"/>
                <w:szCs w:val="20"/>
              </w:rPr>
            </w:pPr>
            <w:r w:rsidRPr="003C3829">
              <w:rPr>
                <w:color w:val="000000"/>
                <w:sz w:val="20"/>
                <w:szCs w:val="20"/>
              </w:rPr>
              <w:t>Košický kraj</w:t>
            </w:r>
          </w:p>
        </w:tc>
        <w:tc>
          <w:tcPr>
            <w:tcW w:w="1200" w:type="dxa"/>
            <w:tcBorders>
              <w:top w:val="single" w:sz="4" w:space="0" w:color="auto"/>
              <w:left w:val="nil"/>
              <w:bottom w:val="single" w:sz="18" w:space="0" w:color="auto"/>
              <w:right w:val="single" w:sz="4" w:space="0" w:color="auto"/>
            </w:tcBorders>
            <w:shd w:val="clear" w:color="auto" w:fill="auto"/>
            <w:noWrap/>
            <w:vAlign w:val="center"/>
            <w:hideMark/>
          </w:tcPr>
          <w:p w:rsidR="008A19EF" w:rsidRPr="003C3829" w:rsidRDefault="008A19EF" w:rsidP="003C3829">
            <w:pPr>
              <w:spacing w:line="240" w:lineRule="auto"/>
              <w:contextualSpacing/>
              <w:jc w:val="right"/>
              <w:rPr>
                <w:color w:val="000000"/>
                <w:sz w:val="20"/>
                <w:szCs w:val="20"/>
              </w:rPr>
            </w:pPr>
            <w:r w:rsidRPr="003C3829">
              <w:rPr>
                <w:color w:val="000000"/>
                <w:sz w:val="20"/>
                <w:szCs w:val="20"/>
              </w:rPr>
              <w:t>39331</w:t>
            </w:r>
          </w:p>
        </w:tc>
        <w:tc>
          <w:tcPr>
            <w:tcW w:w="1200" w:type="dxa"/>
            <w:tcBorders>
              <w:top w:val="single" w:sz="4" w:space="0" w:color="auto"/>
              <w:left w:val="nil"/>
              <w:bottom w:val="single" w:sz="18" w:space="0" w:color="auto"/>
              <w:right w:val="single" w:sz="4" w:space="0" w:color="auto"/>
            </w:tcBorders>
            <w:shd w:val="clear" w:color="auto" w:fill="auto"/>
            <w:noWrap/>
            <w:vAlign w:val="center"/>
            <w:hideMark/>
          </w:tcPr>
          <w:p w:rsidR="008A19EF" w:rsidRPr="003C3829" w:rsidRDefault="008A19EF" w:rsidP="003C3829">
            <w:pPr>
              <w:spacing w:line="240" w:lineRule="auto"/>
              <w:contextualSpacing/>
              <w:jc w:val="right"/>
              <w:rPr>
                <w:color w:val="000000"/>
                <w:sz w:val="20"/>
                <w:szCs w:val="20"/>
              </w:rPr>
            </w:pPr>
            <w:r w:rsidRPr="003C3829">
              <w:rPr>
                <w:color w:val="000000"/>
                <w:sz w:val="20"/>
                <w:szCs w:val="20"/>
              </w:rPr>
              <w:t>39189</w:t>
            </w:r>
          </w:p>
        </w:tc>
        <w:tc>
          <w:tcPr>
            <w:tcW w:w="1200" w:type="dxa"/>
            <w:tcBorders>
              <w:top w:val="single" w:sz="4" w:space="0" w:color="auto"/>
              <w:left w:val="nil"/>
              <w:bottom w:val="single" w:sz="18" w:space="0" w:color="auto"/>
              <w:right w:val="single" w:sz="4" w:space="0" w:color="auto"/>
            </w:tcBorders>
            <w:shd w:val="clear" w:color="auto" w:fill="auto"/>
            <w:noWrap/>
            <w:vAlign w:val="center"/>
            <w:hideMark/>
          </w:tcPr>
          <w:p w:rsidR="008A19EF" w:rsidRPr="003C3829" w:rsidRDefault="008A19EF" w:rsidP="003C3829">
            <w:pPr>
              <w:spacing w:line="240" w:lineRule="auto"/>
              <w:contextualSpacing/>
              <w:jc w:val="right"/>
              <w:rPr>
                <w:color w:val="000000"/>
                <w:sz w:val="20"/>
                <w:szCs w:val="20"/>
              </w:rPr>
            </w:pPr>
            <w:r w:rsidRPr="003C3829">
              <w:rPr>
                <w:color w:val="000000"/>
                <w:sz w:val="20"/>
                <w:szCs w:val="20"/>
              </w:rPr>
              <w:t>40321</w:t>
            </w:r>
          </w:p>
        </w:tc>
        <w:tc>
          <w:tcPr>
            <w:tcW w:w="1200" w:type="dxa"/>
            <w:tcBorders>
              <w:top w:val="single" w:sz="4" w:space="0" w:color="auto"/>
              <w:left w:val="nil"/>
              <w:bottom w:val="single" w:sz="18" w:space="0" w:color="auto"/>
              <w:right w:val="single" w:sz="4" w:space="0" w:color="auto"/>
            </w:tcBorders>
            <w:shd w:val="clear" w:color="auto" w:fill="auto"/>
            <w:noWrap/>
            <w:vAlign w:val="center"/>
            <w:hideMark/>
          </w:tcPr>
          <w:p w:rsidR="008A19EF" w:rsidRPr="003C3829" w:rsidRDefault="008A19EF" w:rsidP="003C3829">
            <w:pPr>
              <w:spacing w:line="240" w:lineRule="auto"/>
              <w:contextualSpacing/>
              <w:jc w:val="right"/>
              <w:rPr>
                <w:color w:val="000000"/>
                <w:sz w:val="20"/>
                <w:szCs w:val="20"/>
              </w:rPr>
            </w:pPr>
            <w:r w:rsidRPr="003C3829">
              <w:rPr>
                <w:color w:val="000000"/>
                <w:sz w:val="20"/>
                <w:szCs w:val="20"/>
              </w:rPr>
              <w:t>42213</w:t>
            </w:r>
          </w:p>
        </w:tc>
        <w:tc>
          <w:tcPr>
            <w:tcW w:w="1119" w:type="dxa"/>
            <w:tcBorders>
              <w:top w:val="single" w:sz="4" w:space="0" w:color="auto"/>
              <w:left w:val="nil"/>
              <w:bottom w:val="single" w:sz="18" w:space="0" w:color="auto"/>
              <w:right w:val="single" w:sz="18" w:space="0" w:color="auto"/>
            </w:tcBorders>
            <w:shd w:val="clear" w:color="auto" w:fill="auto"/>
            <w:noWrap/>
            <w:vAlign w:val="center"/>
            <w:hideMark/>
          </w:tcPr>
          <w:p w:rsidR="008A19EF" w:rsidRPr="003C3829" w:rsidRDefault="008A19EF" w:rsidP="003C3829">
            <w:pPr>
              <w:spacing w:line="240" w:lineRule="auto"/>
              <w:contextualSpacing/>
              <w:jc w:val="right"/>
              <w:rPr>
                <w:color w:val="000000"/>
                <w:sz w:val="20"/>
                <w:szCs w:val="20"/>
              </w:rPr>
            </w:pPr>
            <w:r w:rsidRPr="003C3829">
              <w:rPr>
                <w:color w:val="000000"/>
                <w:sz w:val="20"/>
                <w:szCs w:val="20"/>
              </w:rPr>
              <w:t>43744</w:t>
            </w:r>
          </w:p>
        </w:tc>
      </w:tr>
    </w:tbl>
    <w:p w:rsidR="008A19EF" w:rsidRPr="00344365" w:rsidRDefault="008A19EF" w:rsidP="003C3829">
      <w:pPr>
        <w:spacing w:line="240" w:lineRule="auto"/>
        <w:contextualSpacing/>
      </w:pPr>
      <w:r w:rsidRPr="00344365">
        <w:rPr>
          <w:bCs/>
        </w:rPr>
        <w:t>Zdroj: ŠÚ SR</w:t>
      </w:r>
    </w:p>
    <w:p w:rsidR="008A19EF" w:rsidRPr="00344365" w:rsidRDefault="008A19EF" w:rsidP="008A19EF">
      <w:pPr>
        <w:contextualSpacing/>
      </w:pPr>
      <w:r w:rsidRPr="00344365">
        <w:rPr>
          <w:b/>
        </w:rPr>
        <w:t xml:space="preserve">                                                                                  </w:t>
      </w:r>
    </w:p>
    <w:p w:rsidR="008A19EF" w:rsidRPr="00344365" w:rsidRDefault="008A19EF" w:rsidP="008A19EF">
      <w:pPr>
        <w:ind w:firstLine="708"/>
        <w:contextualSpacing/>
      </w:pPr>
      <w:r w:rsidRPr="004617E1">
        <w:t>Z pohľadu uvedených právnych foriem domin</w:t>
      </w:r>
      <w:r>
        <w:t>ovali</w:t>
      </w:r>
      <w:r w:rsidRPr="004617E1">
        <w:t xml:space="preserve"> </w:t>
      </w:r>
      <w:r>
        <w:t>živnostníci</w:t>
      </w:r>
      <w:r w:rsidRPr="004617E1">
        <w:t>, ktor</w:t>
      </w:r>
      <w:r>
        <w:t>í</w:t>
      </w:r>
      <w:r w:rsidRPr="004617E1">
        <w:t xml:space="preserve"> v priemere dosah</w:t>
      </w:r>
      <w:r>
        <w:t>ovali</w:t>
      </w:r>
      <w:r w:rsidRPr="004617E1">
        <w:t xml:space="preserve"> najvyšší počet </w:t>
      </w:r>
      <w:r w:rsidRPr="00396A21">
        <w:rPr>
          <w:color w:val="000000"/>
        </w:rPr>
        <w:t>125</w:t>
      </w:r>
      <w:r>
        <w:rPr>
          <w:color w:val="000000"/>
        </w:rPr>
        <w:t xml:space="preserve"> </w:t>
      </w:r>
      <w:r w:rsidRPr="00396A21">
        <w:rPr>
          <w:color w:val="000000"/>
        </w:rPr>
        <w:t>579</w:t>
      </w:r>
      <w:r w:rsidRPr="004617E1">
        <w:t xml:space="preserve"> v</w:t>
      </w:r>
      <w:r>
        <w:t> oblasti Západného Slovenska, najmä v Nitrianskom</w:t>
      </w:r>
      <w:r w:rsidRPr="004617E1">
        <w:t xml:space="preserve"> kraji, </w:t>
      </w:r>
      <w:r>
        <w:t>kde dosahovali priemerný počet 44 698</w:t>
      </w:r>
      <w:r w:rsidRPr="004617E1">
        <w:t xml:space="preserve">. Naopak najmenej </w:t>
      </w:r>
      <w:r>
        <w:t>živnostníkov</w:t>
      </w:r>
      <w:r w:rsidRPr="004617E1">
        <w:t xml:space="preserve"> sa nachádza</w:t>
      </w:r>
      <w:r>
        <w:t>lo</w:t>
      </w:r>
      <w:r w:rsidRPr="004617E1">
        <w:t xml:space="preserve"> v oblasti </w:t>
      </w:r>
      <w:r>
        <w:t>Bratislavského kraja</w:t>
      </w:r>
      <w:r w:rsidRPr="004617E1">
        <w:t>, kde v priemere dosah</w:t>
      </w:r>
      <w:r>
        <w:t>ovali</w:t>
      </w:r>
      <w:r w:rsidRPr="004617E1">
        <w:t xml:space="preserve"> počet </w:t>
      </w:r>
      <w:r w:rsidRPr="006A46B0">
        <w:rPr>
          <w:color w:val="000000"/>
        </w:rPr>
        <w:t>58</w:t>
      </w:r>
      <w:r>
        <w:rPr>
          <w:color w:val="000000"/>
        </w:rPr>
        <w:t xml:space="preserve"> </w:t>
      </w:r>
      <w:r w:rsidRPr="006A46B0">
        <w:rPr>
          <w:color w:val="000000"/>
        </w:rPr>
        <w:t>343</w:t>
      </w:r>
      <w:r w:rsidRPr="004617E1">
        <w:rPr>
          <w:color w:val="000000"/>
        </w:rPr>
        <w:t xml:space="preserve">. </w:t>
      </w:r>
      <w:r w:rsidRPr="004617E1">
        <w:t xml:space="preserve">Avšak na úrovni samosprávnych krajov </w:t>
      </w:r>
      <w:r>
        <w:t>bol</w:t>
      </w:r>
      <w:r w:rsidRPr="004617E1">
        <w:t xml:space="preserve"> ich počet najmenší v </w:t>
      </w:r>
      <w:r>
        <w:t>Košickom</w:t>
      </w:r>
      <w:r w:rsidRPr="004617E1">
        <w:t xml:space="preserve"> kraji, kde </w:t>
      </w:r>
      <w:r>
        <w:t xml:space="preserve">sme </w:t>
      </w:r>
      <w:r w:rsidRPr="004617E1">
        <w:t>v priemere m</w:t>
      </w:r>
      <w:r>
        <w:t>ohli</w:t>
      </w:r>
      <w:r w:rsidRPr="004617E1">
        <w:t xml:space="preserve"> nájsť len </w:t>
      </w:r>
      <w:r w:rsidRPr="00106EB7">
        <w:rPr>
          <w:color w:val="000000"/>
        </w:rPr>
        <w:t>37</w:t>
      </w:r>
      <w:r>
        <w:rPr>
          <w:color w:val="000000"/>
        </w:rPr>
        <w:t xml:space="preserve"> </w:t>
      </w:r>
      <w:r w:rsidRPr="00106EB7">
        <w:rPr>
          <w:color w:val="000000"/>
        </w:rPr>
        <w:t>400</w:t>
      </w:r>
      <w:r w:rsidRPr="004617E1">
        <w:rPr>
          <w:color w:val="000000"/>
        </w:rPr>
        <w:t xml:space="preserve"> </w:t>
      </w:r>
      <w:r>
        <w:rPr>
          <w:color w:val="000000"/>
        </w:rPr>
        <w:t>živnostníkov</w:t>
      </w:r>
      <w:r w:rsidRPr="004617E1">
        <w:rPr>
          <w:color w:val="000000"/>
        </w:rPr>
        <w:t>. N</w:t>
      </w:r>
      <w:r w:rsidRPr="004617E1">
        <w:t xml:space="preserve">ajmenší podiel </w:t>
      </w:r>
      <w:r>
        <w:t>fyz</w:t>
      </w:r>
      <w:r w:rsidRPr="004617E1">
        <w:t xml:space="preserve">ických osôb </w:t>
      </w:r>
      <w:r>
        <w:t xml:space="preserve">bol </w:t>
      </w:r>
      <w:r w:rsidRPr="004617E1">
        <w:t>evid</w:t>
      </w:r>
      <w:r>
        <w:t>ovaný</w:t>
      </w:r>
      <w:r w:rsidRPr="004617E1">
        <w:t xml:space="preserve"> vo forme </w:t>
      </w:r>
      <w:r>
        <w:t>samostatne hospodáriacich roľníkov, ktorých bolo</w:t>
      </w:r>
      <w:r w:rsidRPr="004617E1">
        <w:t xml:space="preserve"> najviac lokalizovaných v</w:t>
      </w:r>
      <w:r>
        <w:t> oblasti Západného Slovenska, najmä v Nitrianskom</w:t>
      </w:r>
      <w:r w:rsidRPr="004617E1">
        <w:t xml:space="preserve"> kraji</w:t>
      </w:r>
      <w:r>
        <w:t xml:space="preserve"> (v priemere </w:t>
      </w:r>
      <w:r w:rsidRPr="00820503">
        <w:rPr>
          <w:color w:val="000000"/>
        </w:rPr>
        <w:t>1</w:t>
      </w:r>
      <w:r>
        <w:rPr>
          <w:color w:val="000000"/>
        </w:rPr>
        <w:t xml:space="preserve"> </w:t>
      </w:r>
      <w:r w:rsidRPr="00820503">
        <w:rPr>
          <w:color w:val="000000"/>
        </w:rPr>
        <w:t>964</w:t>
      </w:r>
      <w:r>
        <w:t>)</w:t>
      </w:r>
      <w:r w:rsidRPr="004617E1">
        <w:t xml:space="preserve">. Oblasť </w:t>
      </w:r>
      <w:r>
        <w:t>Bratislavského kraja</w:t>
      </w:r>
      <w:r w:rsidRPr="004617E1">
        <w:t xml:space="preserve"> naopak vykaz</w:t>
      </w:r>
      <w:r>
        <w:t>oval</w:t>
      </w:r>
      <w:r w:rsidRPr="004617E1">
        <w:t xml:space="preserve"> ich najmenší počet, </w:t>
      </w:r>
      <w:r>
        <w:t>konkrétne 526 samostatne hospodáriacich roľníkov</w:t>
      </w:r>
      <w:r w:rsidRPr="004617E1">
        <w:t xml:space="preserve">. Z pohľadu samosprávnych krajov sa </w:t>
      </w:r>
      <w:r>
        <w:t>najviacej samostatne hospodáriacich roľníkov nachádzalo v už spomínanom Nitrianskom kraji, naopak najmenej v Trenčianskom kraji, kde dosahovali priemerný počet 333</w:t>
      </w:r>
      <w:r w:rsidRPr="004617E1">
        <w:t>.</w:t>
      </w:r>
    </w:p>
    <w:p w:rsidR="008A19EF" w:rsidRDefault="008A19EF" w:rsidP="008A19EF">
      <w:pPr>
        <w:contextualSpacing/>
        <w:rPr>
          <w:b/>
        </w:rPr>
      </w:pPr>
      <w:r w:rsidRPr="00344365">
        <w:rPr>
          <w:b/>
        </w:rPr>
        <w:t xml:space="preserve">                      </w:t>
      </w:r>
    </w:p>
    <w:p w:rsidR="00A30D85" w:rsidRDefault="00A30D85" w:rsidP="008A19EF">
      <w:pPr>
        <w:contextualSpacing/>
        <w:rPr>
          <w:b/>
        </w:rPr>
      </w:pPr>
    </w:p>
    <w:p w:rsidR="00A30D85" w:rsidRDefault="00A30D85" w:rsidP="008A19EF">
      <w:pPr>
        <w:contextualSpacing/>
        <w:rPr>
          <w:b/>
        </w:rPr>
      </w:pPr>
    </w:p>
    <w:p w:rsidR="00A30D85" w:rsidRDefault="00A30D85" w:rsidP="008A19EF">
      <w:pPr>
        <w:contextualSpacing/>
        <w:rPr>
          <w:b/>
        </w:rPr>
      </w:pPr>
    </w:p>
    <w:p w:rsidR="00A30D85" w:rsidRDefault="00A30D85" w:rsidP="008A19EF">
      <w:pPr>
        <w:contextualSpacing/>
        <w:rPr>
          <w:b/>
        </w:rPr>
      </w:pPr>
    </w:p>
    <w:p w:rsidR="00A30D85" w:rsidRDefault="00A30D85" w:rsidP="008A19EF">
      <w:pPr>
        <w:contextualSpacing/>
        <w:rPr>
          <w:b/>
        </w:rPr>
      </w:pPr>
    </w:p>
    <w:p w:rsidR="00A30D85" w:rsidRPr="00344365" w:rsidRDefault="00A30D85" w:rsidP="008A19EF">
      <w:pPr>
        <w:contextualSpacing/>
        <w:rPr>
          <w:b/>
        </w:rPr>
      </w:pPr>
    </w:p>
    <w:p w:rsidR="00A30D85" w:rsidRDefault="008A19EF" w:rsidP="00A30D85">
      <w:pPr>
        <w:contextualSpacing/>
        <w:jc w:val="left"/>
        <w:rPr>
          <w:b/>
        </w:rPr>
      </w:pPr>
      <w:r>
        <w:rPr>
          <w:b/>
          <w:bCs/>
        </w:rPr>
        <w:lastRenderedPageBreak/>
        <w:t>Fyzické osoby</w:t>
      </w:r>
      <w:r w:rsidRPr="009D56AF">
        <w:rPr>
          <w:b/>
          <w:bCs/>
        </w:rPr>
        <w:t xml:space="preserve"> podľa vybraných </w:t>
      </w:r>
      <w:r>
        <w:rPr>
          <w:b/>
          <w:bCs/>
        </w:rPr>
        <w:t>právnych</w:t>
      </w:r>
      <w:r w:rsidRPr="009D56AF">
        <w:rPr>
          <w:b/>
          <w:bCs/>
        </w:rPr>
        <w:t xml:space="preserve"> </w:t>
      </w:r>
      <w:r>
        <w:rPr>
          <w:b/>
          <w:bCs/>
        </w:rPr>
        <w:t xml:space="preserve">noriem </w:t>
      </w:r>
      <w:r w:rsidRPr="009D56AF">
        <w:rPr>
          <w:b/>
          <w:bCs/>
        </w:rPr>
        <w:t xml:space="preserve">na území SR    </w:t>
      </w:r>
      <w:r>
        <w:rPr>
          <w:b/>
          <w:bCs/>
        </w:rPr>
        <w:t xml:space="preserve">                           </w:t>
      </w:r>
      <w:r w:rsidRPr="009D56AF">
        <w:rPr>
          <w:b/>
          <w:bCs/>
        </w:rPr>
        <w:t xml:space="preserve">     v sledovanom období 2004 - 2008</w:t>
      </w:r>
      <w:r w:rsidRPr="00344365">
        <w:rPr>
          <w:b/>
        </w:rPr>
        <w:t xml:space="preserve">      </w:t>
      </w:r>
    </w:p>
    <w:p w:rsidR="008A19EF" w:rsidRPr="00344365" w:rsidRDefault="00A30D85" w:rsidP="00A30D85">
      <w:pPr>
        <w:spacing w:line="240" w:lineRule="auto"/>
        <w:contextualSpacing/>
        <w:jc w:val="right"/>
        <w:rPr>
          <w:b/>
        </w:rPr>
      </w:pPr>
      <w:r w:rsidRPr="00344365">
        <w:rPr>
          <w:b/>
        </w:rPr>
        <w:t xml:space="preserve">Tabuľka </w:t>
      </w:r>
      <w:r w:rsidR="00472F63">
        <w:rPr>
          <w:b/>
        </w:rPr>
        <w:t>4</w:t>
      </w:r>
      <w:r w:rsidR="008A19EF" w:rsidRPr="00344365">
        <w:rPr>
          <w:b/>
        </w:rPr>
        <w:t xml:space="preserve">                                                                                                                           </w:t>
      </w:r>
      <w:r w:rsidR="008A19EF">
        <w:rPr>
          <w:b/>
        </w:rPr>
        <w:t xml:space="preserve">                                                                                                                            </w:t>
      </w:r>
      <w:r>
        <w:rPr>
          <w:b/>
        </w:rPr>
        <w:t xml:space="preserve">   </w:t>
      </w:r>
    </w:p>
    <w:tbl>
      <w:tblPr>
        <w:tblW w:w="8804" w:type="dxa"/>
        <w:jc w:val="center"/>
        <w:tblCellMar>
          <w:left w:w="70" w:type="dxa"/>
          <w:right w:w="70" w:type="dxa"/>
        </w:tblCellMar>
        <w:tblLook w:val="04A0"/>
      </w:tblPr>
      <w:tblGrid>
        <w:gridCol w:w="2850"/>
        <w:gridCol w:w="2127"/>
        <w:gridCol w:w="1984"/>
        <w:gridCol w:w="1843"/>
      </w:tblGrid>
      <w:tr w:rsidR="008A19EF" w:rsidRPr="00344365" w:rsidTr="00A30D85">
        <w:trPr>
          <w:trHeight w:val="300"/>
          <w:jc w:val="center"/>
        </w:trPr>
        <w:tc>
          <w:tcPr>
            <w:tcW w:w="2850" w:type="dxa"/>
            <w:vMerge w:val="restart"/>
            <w:tcBorders>
              <w:top w:val="single" w:sz="18" w:space="0" w:color="auto"/>
              <w:left w:val="single" w:sz="18" w:space="0" w:color="auto"/>
              <w:right w:val="single" w:sz="4" w:space="0" w:color="auto"/>
            </w:tcBorders>
            <w:shd w:val="clear" w:color="auto" w:fill="auto"/>
            <w:noWrap/>
            <w:vAlign w:val="center"/>
            <w:hideMark/>
          </w:tcPr>
          <w:p w:rsidR="008A19EF" w:rsidRPr="00A30D85" w:rsidRDefault="008A19EF" w:rsidP="00A30D85">
            <w:pPr>
              <w:spacing w:line="240" w:lineRule="auto"/>
              <w:contextualSpacing/>
              <w:jc w:val="center"/>
              <w:rPr>
                <w:b/>
                <w:color w:val="000000"/>
                <w:sz w:val="20"/>
                <w:szCs w:val="20"/>
              </w:rPr>
            </w:pPr>
            <w:r w:rsidRPr="00A30D85">
              <w:rPr>
                <w:b/>
                <w:color w:val="000000"/>
                <w:sz w:val="20"/>
                <w:szCs w:val="20"/>
              </w:rPr>
              <w:t>2004 - 2008</w:t>
            </w:r>
          </w:p>
        </w:tc>
        <w:tc>
          <w:tcPr>
            <w:tcW w:w="5954" w:type="dxa"/>
            <w:gridSpan w:val="3"/>
            <w:tcBorders>
              <w:top w:val="single" w:sz="18" w:space="0" w:color="auto"/>
              <w:left w:val="nil"/>
              <w:bottom w:val="single" w:sz="4" w:space="0" w:color="auto"/>
              <w:right w:val="single" w:sz="18" w:space="0" w:color="auto"/>
            </w:tcBorders>
            <w:shd w:val="clear" w:color="auto" w:fill="auto"/>
            <w:noWrap/>
            <w:vAlign w:val="center"/>
            <w:hideMark/>
          </w:tcPr>
          <w:p w:rsidR="008A19EF" w:rsidRPr="00A30D85" w:rsidRDefault="008A19EF" w:rsidP="00A30D85">
            <w:pPr>
              <w:spacing w:line="240" w:lineRule="auto"/>
              <w:contextualSpacing/>
              <w:jc w:val="center"/>
              <w:rPr>
                <w:b/>
                <w:color w:val="000000"/>
                <w:sz w:val="20"/>
                <w:szCs w:val="20"/>
              </w:rPr>
            </w:pPr>
            <w:r w:rsidRPr="00A30D85">
              <w:rPr>
                <w:b/>
                <w:color w:val="000000"/>
                <w:sz w:val="20"/>
                <w:szCs w:val="20"/>
              </w:rPr>
              <w:t>Fyzické osoby</w:t>
            </w:r>
          </w:p>
        </w:tc>
      </w:tr>
      <w:tr w:rsidR="008A19EF" w:rsidRPr="00344365" w:rsidTr="00A30D85">
        <w:trPr>
          <w:trHeight w:val="533"/>
          <w:jc w:val="center"/>
        </w:trPr>
        <w:tc>
          <w:tcPr>
            <w:tcW w:w="2850" w:type="dxa"/>
            <w:vMerge/>
            <w:tcBorders>
              <w:left w:val="single" w:sz="18" w:space="0" w:color="auto"/>
              <w:bottom w:val="single" w:sz="18" w:space="0" w:color="auto"/>
              <w:right w:val="single" w:sz="4" w:space="0" w:color="auto"/>
            </w:tcBorders>
            <w:shd w:val="clear" w:color="auto" w:fill="auto"/>
            <w:noWrap/>
            <w:vAlign w:val="center"/>
            <w:hideMark/>
          </w:tcPr>
          <w:p w:rsidR="008A19EF" w:rsidRPr="00A30D85" w:rsidRDefault="008A19EF" w:rsidP="00A30D85">
            <w:pPr>
              <w:spacing w:line="240" w:lineRule="auto"/>
              <w:contextualSpacing/>
              <w:jc w:val="center"/>
              <w:rPr>
                <w:color w:val="000000"/>
                <w:sz w:val="20"/>
                <w:szCs w:val="20"/>
              </w:rPr>
            </w:pPr>
          </w:p>
        </w:tc>
        <w:tc>
          <w:tcPr>
            <w:tcW w:w="2127" w:type="dxa"/>
            <w:tcBorders>
              <w:top w:val="nil"/>
              <w:left w:val="nil"/>
              <w:bottom w:val="single" w:sz="18" w:space="0" w:color="auto"/>
              <w:right w:val="single" w:sz="4" w:space="0" w:color="auto"/>
            </w:tcBorders>
            <w:shd w:val="clear" w:color="auto" w:fill="auto"/>
            <w:noWrap/>
            <w:vAlign w:val="center"/>
            <w:hideMark/>
          </w:tcPr>
          <w:p w:rsidR="008A19EF" w:rsidRPr="00A30D85" w:rsidRDefault="008A19EF" w:rsidP="00A30D85">
            <w:pPr>
              <w:spacing w:line="240" w:lineRule="auto"/>
              <w:contextualSpacing/>
              <w:jc w:val="center"/>
              <w:rPr>
                <w:b/>
                <w:color w:val="000000"/>
                <w:sz w:val="20"/>
                <w:szCs w:val="20"/>
              </w:rPr>
            </w:pPr>
            <w:r w:rsidRPr="00A30D85">
              <w:rPr>
                <w:b/>
                <w:color w:val="000000"/>
                <w:sz w:val="20"/>
                <w:szCs w:val="20"/>
              </w:rPr>
              <w:t>Slobodné povolania</w:t>
            </w:r>
          </w:p>
        </w:tc>
        <w:tc>
          <w:tcPr>
            <w:tcW w:w="1984" w:type="dxa"/>
            <w:tcBorders>
              <w:top w:val="nil"/>
              <w:left w:val="nil"/>
              <w:bottom w:val="single" w:sz="18" w:space="0" w:color="auto"/>
              <w:right w:val="single" w:sz="4" w:space="0" w:color="auto"/>
            </w:tcBorders>
            <w:shd w:val="clear" w:color="auto" w:fill="auto"/>
            <w:noWrap/>
            <w:vAlign w:val="center"/>
            <w:hideMark/>
          </w:tcPr>
          <w:p w:rsidR="008A19EF" w:rsidRPr="00A30D85" w:rsidRDefault="008A19EF" w:rsidP="00A30D85">
            <w:pPr>
              <w:spacing w:line="240" w:lineRule="auto"/>
              <w:contextualSpacing/>
              <w:jc w:val="center"/>
              <w:rPr>
                <w:b/>
                <w:color w:val="000000"/>
                <w:sz w:val="20"/>
                <w:szCs w:val="20"/>
              </w:rPr>
            </w:pPr>
            <w:r w:rsidRPr="00A30D85">
              <w:rPr>
                <w:b/>
                <w:color w:val="000000"/>
                <w:sz w:val="20"/>
                <w:szCs w:val="20"/>
              </w:rPr>
              <w:t>Samostatne hospodáriaci roľníci</w:t>
            </w:r>
          </w:p>
        </w:tc>
        <w:tc>
          <w:tcPr>
            <w:tcW w:w="1843" w:type="dxa"/>
            <w:tcBorders>
              <w:top w:val="nil"/>
              <w:left w:val="nil"/>
              <w:bottom w:val="single" w:sz="18" w:space="0" w:color="auto"/>
              <w:right w:val="single" w:sz="18" w:space="0" w:color="auto"/>
            </w:tcBorders>
            <w:shd w:val="clear" w:color="auto" w:fill="auto"/>
            <w:noWrap/>
            <w:vAlign w:val="center"/>
            <w:hideMark/>
          </w:tcPr>
          <w:p w:rsidR="008A19EF" w:rsidRPr="00A30D85" w:rsidRDefault="008A19EF" w:rsidP="00A30D85">
            <w:pPr>
              <w:spacing w:line="240" w:lineRule="auto"/>
              <w:contextualSpacing/>
              <w:jc w:val="center"/>
              <w:rPr>
                <w:b/>
                <w:color w:val="000000"/>
                <w:sz w:val="20"/>
                <w:szCs w:val="20"/>
              </w:rPr>
            </w:pPr>
            <w:r w:rsidRPr="00A30D85">
              <w:rPr>
                <w:b/>
                <w:color w:val="000000"/>
                <w:sz w:val="20"/>
                <w:szCs w:val="20"/>
              </w:rPr>
              <w:t>Živnostníci</w:t>
            </w:r>
          </w:p>
        </w:tc>
      </w:tr>
      <w:tr w:rsidR="008A19EF" w:rsidRPr="00344365" w:rsidTr="00A30D85">
        <w:trPr>
          <w:trHeight w:val="300"/>
          <w:jc w:val="center"/>
        </w:trPr>
        <w:tc>
          <w:tcPr>
            <w:tcW w:w="2850" w:type="dxa"/>
            <w:tcBorders>
              <w:top w:val="single" w:sz="18" w:space="0" w:color="auto"/>
              <w:left w:val="single" w:sz="18" w:space="0" w:color="auto"/>
              <w:bottom w:val="single" w:sz="18" w:space="0" w:color="auto"/>
              <w:right w:val="single" w:sz="4" w:space="0" w:color="auto"/>
            </w:tcBorders>
            <w:shd w:val="clear" w:color="auto" w:fill="FFFF00"/>
            <w:noWrap/>
            <w:vAlign w:val="center"/>
            <w:hideMark/>
          </w:tcPr>
          <w:p w:rsidR="008A19EF" w:rsidRPr="00A30D85" w:rsidRDefault="008A19EF" w:rsidP="00A30D85">
            <w:pPr>
              <w:spacing w:line="240" w:lineRule="auto"/>
              <w:contextualSpacing/>
              <w:rPr>
                <w:color w:val="000000"/>
                <w:sz w:val="20"/>
                <w:szCs w:val="20"/>
              </w:rPr>
            </w:pPr>
            <w:r w:rsidRPr="00A30D85">
              <w:rPr>
                <w:color w:val="000000"/>
                <w:sz w:val="20"/>
                <w:szCs w:val="20"/>
              </w:rPr>
              <w:t>Bratislavský kraj</w:t>
            </w:r>
          </w:p>
        </w:tc>
        <w:tc>
          <w:tcPr>
            <w:tcW w:w="2127" w:type="dxa"/>
            <w:tcBorders>
              <w:top w:val="single" w:sz="18" w:space="0" w:color="auto"/>
              <w:left w:val="nil"/>
              <w:bottom w:val="single" w:sz="18" w:space="0" w:color="auto"/>
              <w:right w:val="single" w:sz="4" w:space="0" w:color="auto"/>
            </w:tcBorders>
            <w:shd w:val="clear" w:color="auto" w:fill="FFFF00"/>
            <w:noWrap/>
            <w:vAlign w:val="center"/>
            <w:hideMark/>
          </w:tcPr>
          <w:p w:rsidR="008A19EF" w:rsidRPr="00A30D85" w:rsidRDefault="008A19EF" w:rsidP="00A30D85">
            <w:pPr>
              <w:spacing w:line="240" w:lineRule="auto"/>
              <w:jc w:val="right"/>
              <w:rPr>
                <w:color w:val="000000"/>
                <w:sz w:val="20"/>
                <w:szCs w:val="20"/>
              </w:rPr>
            </w:pPr>
            <w:r w:rsidRPr="00A30D85">
              <w:rPr>
                <w:color w:val="000000"/>
                <w:sz w:val="20"/>
                <w:szCs w:val="20"/>
              </w:rPr>
              <w:t>3000</w:t>
            </w:r>
          </w:p>
        </w:tc>
        <w:tc>
          <w:tcPr>
            <w:tcW w:w="1984" w:type="dxa"/>
            <w:tcBorders>
              <w:top w:val="single" w:sz="18" w:space="0" w:color="auto"/>
              <w:left w:val="nil"/>
              <w:bottom w:val="single" w:sz="18" w:space="0" w:color="auto"/>
              <w:right w:val="single" w:sz="4" w:space="0" w:color="auto"/>
            </w:tcBorders>
            <w:shd w:val="clear" w:color="auto" w:fill="FFFF00"/>
            <w:noWrap/>
            <w:vAlign w:val="center"/>
            <w:hideMark/>
          </w:tcPr>
          <w:p w:rsidR="008A19EF" w:rsidRPr="00A30D85" w:rsidRDefault="008A19EF" w:rsidP="00A30D85">
            <w:pPr>
              <w:spacing w:line="240" w:lineRule="auto"/>
              <w:jc w:val="right"/>
              <w:rPr>
                <w:color w:val="000000"/>
                <w:sz w:val="20"/>
                <w:szCs w:val="20"/>
              </w:rPr>
            </w:pPr>
            <w:r w:rsidRPr="00A30D85">
              <w:rPr>
                <w:color w:val="000000"/>
                <w:sz w:val="20"/>
                <w:szCs w:val="20"/>
              </w:rPr>
              <w:t>526</w:t>
            </w:r>
          </w:p>
        </w:tc>
        <w:tc>
          <w:tcPr>
            <w:tcW w:w="1843" w:type="dxa"/>
            <w:tcBorders>
              <w:top w:val="single" w:sz="18" w:space="0" w:color="auto"/>
              <w:left w:val="nil"/>
              <w:bottom w:val="single" w:sz="18" w:space="0" w:color="auto"/>
              <w:right w:val="single" w:sz="18" w:space="0" w:color="auto"/>
            </w:tcBorders>
            <w:shd w:val="clear" w:color="auto" w:fill="FFFF00"/>
            <w:noWrap/>
            <w:vAlign w:val="center"/>
            <w:hideMark/>
          </w:tcPr>
          <w:p w:rsidR="008A19EF" w:rsidRPr="00A30D85" w:rsidRDefault="008A19EF" w:rsidP="00A30D85">
            <w:pPr>
              <w:spacing w:line="240" w:lineRule="auto"/>
              <w:jc w:val="right"/>
              <w:rPr>
                <w:color w:val="000000"/>
                <w:sz w:val="20"/>
                <w:szCs w:val="20"/>
              </w:rPr>
            </w:pPr>
            <w:r w:rsidRPr="00A30D85">
              <w:rPr>
                <w:color w:val="000000"/>
                <w:sz w:val="20"/>
                <w:szCs w:val="20"/>
              </w:rPr>
              <w:t>58343</w:t>
            </w:r>
          </w:p>
        </w:tc>
      </w:tr>
      <w:tr w:rsidR="008A19EF" w:rsidRPr="00344365" w:rsidTr="00A30D85">
        <w:trPr>
          <w:trHeight w:val="300"/>
          <w:jc w:val="center"/>
        </w:trPr>
        <w:tc>
          <w:tcPr>
            <w:tcW w:w="2850" w:type="dxa"/>
            <w:tcBorders>
              <w:top w:val="single" w:sz="18" w:space="0" w:color="auto"/>
              <w:left w:val="single" w:sz="18" w:space="0" w:color="auto"/>
              <w:bottom w:val="single" w:sz="18" w:space="0" w:color="auto"/>
              <w:right w:val="single" w:sz="4" w:space="0" w:color="auto"/>
            </w:tcBorders>
            <w:shd w:val="clear" w:color="auto" w:fill="FFFF00"/>
            <w:noWrap/>
            <w:vAlign w:val="center"/>
            <w:hideMark/>
          </w:tcPr>
          <w:p w:rsidR="008A19EF" w:rsidRPr="00A30D85" w:rsidRDefault="008A19EF" w:rsidP="00A30D85">
            <w:pPr>
              <w:spacing w:line="240" w:lineRule="auto"/>
              <w:contextualSpacing/>
              <w:rPr>
                <w:color w:val="000000"/>
                <w:sz w:val="20"/>
                <w:szCs w:val="20"/>
              </w:rPr>
            </w:pPr>
            <w:r w:rsidRPr="00A30D85">
              <w:rPr>
                <w:color w:val="000000"/>
                <w:sz w:val="20"/>
                <w:szCs w:val="20"/>
              </w:rPr>
              <w:t>Západné Slovensko</w:t>
            </w:r>
          </w:p>
        </w:tc>
        <w:tc>
          <w:tcPr>
            <w:tcW w:w="2127" w:type="dxa"/>
            <w:tcBorders>
              <w:top w:val="single" w:sz="18" w:space="0" w:color="auto"/>
              <w:left w:val="nil"/>
              <w:bottom w:val="single" w:sz="18" w:space="0" w:color="auto"/>
              <w:right w:val="single" w:sz="4" w:space="0" w:color="auto"/>
            </w:tcBorders>
            <w:shd w:val="clear" w:color="auto" w:fill="FFFF00"/>
            <w:noWrap/>
            <w:vAlign w:val="center"/>
            <w:hideMark/>
          </w:tcPr>
          <w:p w:rsidR="008A19EF" w:rsidRPr="00A30D85" w:rsidRDefault="008A19EF" w:rsidP="00A30D85">
            <w:pPr>
              <w:spacing w:line="240" w:lineRule="auto"/>
              <w:jc w:val="right"/>
              <w:rPr>
                <w:color w:val="000000"/>
                <w:sz w:val="20"/>
                <w:szCs w:val="20"/>
              </w:rPr>
            </w:pPr>
            <w:r w:rsidRPr="00A30D85">
              <w:rPr>
                <w:color w:val="000000"/>
                <w:sz w:val="20"/>
                <w:szCs w:val="20"/>
              </w:rPr>
              <w:t>4790</w:t>
            </w:r>
          </w:p>
        </w:tc>
        <w:tc>
          <w:tcPr>
            <w:tcW w:w="1984" w:type="dxa"/>
            <w:tcBorders>
              <w:top w:val="single" w:sz="18" w:space="0" w:color="auto"/>
              <w:left w:val="nil"/>
              <w:bottom w:val="single" w:sz="18" w:space="0" w:color="auto"/>
              <w:right w:val="single" w:sz="4" w:space="0" w:color="auto"/>
            </w:tcBorders>
            <w:shd w:val="clear" w:color="auto" w:fill="FFFF00"/>
            <w:noWrap/>
            <w:vAlign w:val="center"/>
            <w:hideMark/>
          </w:tcPr>
          <w:p w:rsidR="008A19EF" w:rsidRPr="00A30D85" w:rsidRDefault="008A19EF" w:rsidP="00A30D85">
            <w:pPr>
              <w:spacing w:line="240" w:lineRule="auto"/>
              <w:jc w:val="right"/>
              <w:rPr>
                <w:color w:val="000000"/>
                <w:sz w:val="20"/>
                <w:szCs w:val="20"/>
              </w:rPr>
            </w:pPr>
            <w:r w:rsidRPr="00A30D85">
              <w:rPr>
                <w:color w:val="000000"/>
                <w:sz w:val="20"/>
                <w:szCs w:val="20"/>
              </w:rPr>
              <w:t>3481</w:t>
            </w:r>
          </w:p>
        </w:tc>
        <w:tc>
          <w:tcPr>
            <w:tcW w:w="1843" w:type="dxa"/>
            <w:tcBorders>
              <w:top w:val="single" w:sz="18" w:space="0" w:color="auto"/>
              <w:left w:val="nil"/>
              <w:bottom w:val="single" w:sz="18" w:space="0" w:color="auto"/>
              <w:right w:val="single" w:sz="18" w:space="0" w:color="auto"/>
            </w:tcBorders>
            <w:shd w:val="clear" w:color="auto" w:fill="FFFF00"/>
            <w:noWrap/>
            <w:vAlign w:val="center"/>
            <w:hideMark/>
          </w:tcPr>
          <w:p w:rsidR="008A19EF" w:rsidRPr="00A30D85" w:rsidRDefault="008A19EF" w:rsidP="00A30D85">
            <w:pPr>
              <w:spacing w:line="240" w:lineRule="auto"/>
              <w:jc w:val="right"/>
              <w:rPr>
                <w:color w:val="000000"/>
                <w:sz w:val="20"/>
                <w:szCs w:val="20"/>
              </w:rPr>
            </w:pPr>
            <w:r w:rsidRPr="00A30D85">
              <w:rPr>
                <w:color w:val="000000"/>
                <w:sz w:val="20"/>
                <w:szCs w:val="20"/>
              </w:rPr>
              <w:t>125579</w:t>
            </w:r>
          </w:p>
        </w:tc>
      </w:tr>
      <w:tr w:rsidR="008A19EF" w:rsidRPr="00344365" w:rsidTr="00A30D85">
        <w:trPr>
          <w:trHeight w:val="300"/>
          <w:jc w:val="center"/>
        </w:trPr>
        <w:tc>
          <w:tcPr>
            <w:tcW w:w="2850" w:type="dxa"/>
            <w:tcBorders>
              <w:top w:val="single" w:sz="18" w:space="0" w:color="auto"/>
              <w:left w:val="single" w:sz="18" w:space="0" w:color="auto"/>
              <w:bottom w:val="single" w:sz="4" w:space="0" w:color="auto"/>
              <w:right w:val="single" w:sz="4" w:space="0" w:color="auto"/>
            </w:tcBorders>
            <w:shd w:val="clear" w:color="auto" w:fill="auto"/>
            <w:noWrap/>
            <w:vAlign w:val="center"/>
            <w:hideMark/>
          </w:tcPr>
          <w:p w:rsidR="008A19EF" w:rsidRPr="00A30D85" w:rsidRDefault="008A19EF" w:rsidP="00A30D85">
            <w:pPr>
              <w:spacing w:line="240" w:lineRule="auto"/>
              <w:contextualSpacing/>
              <w:rPr>
                <w:color w:val="000000"/>
                <w:sz w:val="20"/>
                <w:szCs w:val="20"/>
              </w:rPr>
            </w:pPr>
            <w:r w:rsidRPr="00A30D85">
              <w:rPr>
                <w:color w:val="000000"/>
                <w:sz w:val="20"/>
                <w:szCs w:val="20"/>
              </w:rPr>
              <w:t>Trnavský kraj</w:t>
            </w:r>
          </w:p>
        </w:tc>
        <w:tc>
          <w:tcPr>
            <w:tcW w:w="2127" w:type="dxa"/>
            <w:tcBorders>
              <w:top w:val="single" w:sz="18" w:space="0" w:color="auto"/>
              <w:left w:val="nil"/>
              <w:bottom w:val="single" w:sz="4" w:space="0" w:color="auto"/>
              <w:right w:val="single" w:sz="4" w:space="0" w:color="auto"/>
            </w:tcBorders>
            <w:shd w:val="clear" w:color="auto" w:fill="auto"/>
            <w:noWrap/>
            <w:vAlign w:val="center"/>
            <w:hideMark/>
          </w:tcPr>
          <w:p w:rsidR="008A19EF" w:rsidRPr="00A30D85" w:rsidRDefault="008A19EF" w:rsidP="00A30D85">
            <w:pPr>
              <w:spacing w:line="240" w:lineRule="auto"/>
              <w:jc w:val="right"/>
              <w:rPr>
                <w:color w:val="000000"/>
                <w:sz w:val="20"/>
                <w:szCs w:val="20"/>
              </w:rPr>
            </w:pPr>
            <w:r w:rsidRPr="00A30D85">
              <w:rPr>
                <w:color w:val="000000"/>
                <w:sz w:val="20"/>
                <w:szCs w:val="20"/>
              </w:rPr>
              <w:t>1328</w:t>
            </w:r>
          </w:p>
        </w:tc>
        <w:tc>
          <w:tcPr>
            <w:tcW w:w="1984" w:type="dxa"/>
            <w:tcBorders>
              <w:top w:val="single" w:sz="18" w:space="0" w:color="auto"/>
              <w:left w:val="nil"/>
              <w:bottom w:val="single" w:sz="4" w:space="0" w:color="auto"/>
              <w:right w:val="single" w:sz="4" w:space="0" w:color="auto"/>
            </w:tcBorders>
            <w:shd w:val="clear" w:color="auto" w:fill="auto"/>
            <w:noWrap/>
            <w:vAlign w:val="center"/>
            <w:hideMark/>
          </w:tcPr>
          <w:p w:rsidR="008A19EF" w:rsidRPr="00A30D85" w:rsidRDefault="008A19EF" w:rsidP="00A30D85">
            <w:pPr>
              <w:spacing w:line="240" w:lineRule="auto"/>
              <w:jc w:val="right"/>
              <w:rPr>
                <w:color w:val="000000"/>
                <w:sz w:val="20"/>
                <w:szCs w:val="20"/>
              </w:rPr>
            </w:pPr>
            <w:r w:rsidRPr="00A30D85">
              <w:rPr>
                <w:color w:val="000000"/>
                <w:sz w:val="20"/>
                <w:szCs w:val="20"/>
              </w:rPr>
              <w:t>1184</w:t>
            </w:r>
          </w:p>
        </w:tc>
        <w:tc>
          <w:tcPr>
            <w:tcW w:w="1843" w:type="dxa"/>
            <w:tcBorders>
              <w:top w:val="single" w:sz="18" w:space="0" w:color="auto"/>
              <w:left w:val="nil"/>
              <w:bottom w:val="single" w:sz="4" w:space="0" w:color="auto"/>
              <w:right w:val="single" w:sz="18" w:space="0" w:color="auto"/>
            </w:tcBorders>
            <w:shd w:val="clear" w:color="auto" w:fill="auto"/>
            <w:noWrap/>
            <w:vAlign w:val="center"/>
            <w:hideMark/>
          </w:tcPr>
          <w:p w:rsidR="008A19EF" w:rsidRPr="00A30D85" w:rsidRDefault="008A19EF" w:rsidP="00A30D85">
            <w:pPr>
              <w:spacing w:line="240" w:lineRule="auto"/>
              <w:jc w:val="right"/>
              <w:rPr>
                <w:color w:val="000000"/>
                <w:sz w:val="20"/>
                <w:szCs w:val="20"/>
              </w:rPr>
            </w:pPr>
            <w:r w:rsidRPr="00A30D85">
              <w:rPr>
                <w:color w:val="000000"/>
                <w:sz w:val="20"/>
                <w:szCs w:val="20"/>
              </w:rPr>
              <w:t>39739</w:t>
            </w:r>
          </w:p>
        </w:tc>
      </w:tr>
      <w:tr w:rsidR="008A19EF" w:rsidRPr="00344365" w:rsidTr="00A30D85">
        <w:trPr>
          <w:trHeight w:val="300"/>
          <w:jc w:val="center"/>
        </w:trPr>
        <w:tc>
          <w:tcPr>
            <w:tcW w:w="285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rsidR="008A19EF" w:rsidRPr="00A30D85" w:rsidRDefault="008A19EF" w:rsidP="00A30D85">
            <w:pPr>
              <w:spacing w:line="240" w:lineRule="auto"/>
              <w:contextualSpacing/>
              <w:rPr>
                <w:color w:val="000000"/>
                <w:sz w:val="20"/>
                <w:szCs w:val="20"/>
              </w:rPr>
            </w:pPr>
            <w:r w:rsidRPr="00A30D85">
              <w:rPr>
                <w:color w:val="000000"/>
                <w:sz w:val="20"/>
                <w:szCs w:val="20"/>
              </w:rPr>
              <w:t>Trenčiansky kraj</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8A19EF" w:rsidRPr="00A30D85" w:rsidRDefault="008A19EF" w:rsidP="00A30D85">
            <w:pPr>
              <w:spacing w:line="240" w:lineRule="auto"/>
              <w:jc w:val="right"/>
              <w:rPr>
                <w:color w:val="000000"/>
                <w:sz w:val="20"/>
                <w:szCs w:val="20"/>
              </w:rPr>
            </w:pPr>
            <w:r w:rsidRPr="00A30D85">
              <w:rPr>
                <w:color w:val="000000"/>
                <w:sz w:val="20"/>
                <w:szCs w:val="20"/>
              </w:rPr>
              <w:t>1553</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8A19EF" w:rsidRPr="00A30D85" w:rsidRDefault="008A19EF" w:rsidP="00A30D85">
            <w:pPr>
              <w:spacing w:line="240" w:lineRule="auto"/>
              <w:jc w:val="right"/>
              <w:rPr>
                <w:color w:val="000000"/>
                <w:sz w:val="20"/>
                <w:szCs w:val="20"/>
              </w:rPr>
            </w:pPr>
            <w:r w:rsidRPr="00A30D85">
              <w:rPr>
                <w:color w:val="000000"/>
                <w:sz w:val="20"/>
                <w:szCs w:val="20"/>
              </w:rPr>
              <w:t>333</w:t>
            </w:r>
          </w:p>
        </w:tc>
        <w:tc>
          <w:tcPr>
            <w:tcW w:w="1843" w:type="dxa"/>
            <w:tcBorders>
              <w:top w:val="single" w:sz="4" w:space="0" w:color="auto"/>
              <w:left w:val="nil"/>
              <w:bottom w:val="single" w:sz="4" w:space="0" w:color="auto"/>
              <w:right w:val="single" w:sz="18" w:space="0" w:color="auto"/>
            </w:tcBorders>
            <w:shd w:val="clear" w:color="auto" w:fill="auto"/>
            <w:noWrap/>
            <w:vAlign w:val="center"/>
            <w:hideMark/>
          </w:tcPr>
          <w:p w:rsidR="008A19EF" w:rsidRPr="00A30D85" w:rsidRDefault="008A19EF" w:rsidP="00A30D85">
            <w:pPr>
              <w:spacing w:line="240" w:lineRule="auto"/>
              <w:jc w:val="right"/>
              <w:rPr>
                <w:color w:val="000000"/>
                <w:sz w:val="20"/>
                <w:szCs w:val="20"/>
              </w:rPr>
            </w:pPr>
            <w:r w:rsidRPr="00A30D85">
              <w:rPr>
                <w:color w:val="000000"/>
                <w:sz w:val="20"/>
                <w:szCs w:val="20"/>
              </w:rPr>
              <w:t>41142</w:t>
            </w:r>
          </w:p>
        </w:tc>
      </w:tr>
      <w:tr w:rsidR="008A19EF" w:rsidRPr="00344365" w:rsidTr="00A30D85">
        <w:trPr>
          <w:trHeight w:val="300"/>
          <w:jc w:val="center"/>
        </w:trPr>
        <w:tc>
          <w:tcPr>
            <w:tcW w:w="2850" w:type="dxa"/>
            <w:tcBorders>
              <w:top w:val="single" w:sz="4" w:space="0" w:color="auto"/>
              <w:left w:val="single" w:sz="18" w:space="0" w:color="auto"/>
              <w:bottom w:val="single" w:sz="18" w:space="0" w:color="auto"/>
              <w:right w:val="single" w:sz="4" w:space="0" w:color="auto"/>
            </w:tcBorders>
            <w:shd w:val="clear" w:color="auto" w:fill="auto"/>
            <w:noWrap/>
            <w:vAlign w:val="center"/>
            <w:hideMark/>
          </w:tcPr>
          <w:p w:rsidR="008A19EF" w:rsidRPr="00A30D85" w:rsidRDefault="008A19EF" w:rsidP="00A30D85">
            <w:pPr>
              <w:spacing w:line="240" w:lineRule="auto"/>
              <w:contextualSpacing/>
              <w:rPr>
                <w:color w:val="000000"/>
                <w:sz w:val="20"/>
                <w:szCs w:val="20"/>
              </w:rPr>
            </w:pPr>
            <w:r w:rsidRPr="00A30D85">
              <w:rPr>
                <w:color w:val="000000"/>
                <w:sz w:val="20"/>
                <w:szCs w:val="20"/>
              </w:rPr>
              <w:t>Nitriansky kraj</w:t>
            </w:r>
          </w:p>
        </w:tc>
        <w:tc>
          <w:tcPr>
            <w:tcW w:w="2127" w:type="dxa"/>
            <w:tcBorders>
              <w:top w:val="single" w:sz="4" w:space="0" w:color="auto"/>
              <w:left w:val="nil"/>
              <w:bottom w:val="single" w:sz="18" w:space="0" w:color="auto"/>
              <w:right w:val="single" w:sz="4" w:space="0" w:color="auto"/>
            </w:tcBorders>
            <w:shd w:val="clear" w:color="auto" w:fill="auto"/>
            <w:noWrap/>
            <w:vAlign w:val="center"/>
            <w:hideMark/>
          </w:tcPr>
          <w:p w:rsidR="008A19EF" w:rsidRPr="00A30D85" w:rsidRDefault="008A19EF" w:rsidP="00A30D85">
            <w:pPr>
              <w:spacing w:line="240" w:lineRule="auto"/>
              <w:jc w:val="right"/>
              <w:rPr>
                <w:color w:val="000000"/>
                <w:sz w:val="20"/>
                <w:szCs w:val="20"/>
              </w:rPr>
            </w:pPr>
            <w:r w:rsidRPr="00A30D85">
              <w:rPr>
                <w:color w:val="000000"/>
                <w:sz w:val="20"/>
                <w:szCs w:val="20"/>
              </w:rPr>
              <w:t>1909</w:t>
            </w:r>
          </w:p>
        </w:tc>
        <w:tc>
          <w:tcPr>
            <w:tcW w:w="1984" w:type="dxa"/>
            <w:tcBorders>
              <w:top w:val="single" w:sz="4" w:space="0" w:color="auto"/>
              <w:left w:val="nil"/>
              <w:bottom w:val="single" w:sz="18" w:space="0" w:color="auto"/>
              <w:right w:val="single" w:sz="4" w:space="0" w:color="auto"/>
            </w:tcBorders>
            <w:shd w:val="clear" w:color="auto" w:fill="auto"/>
            <w:noWrap/>
            <w:vAlign w:val="center"/>
            <w:hideMark/>
          </w:tcPr>
          <w:p w:rsidR="008A19EF" w:rsidRPr="00A30D85" w:rsidRDefault="008A19EF" w:rsidP="00A30D85">
            <w:pPr>
              <w:spacing w:line="240" w:lineRule="auto"/>
              <w:jc w:val="right"/>
              <w:rPr>
                <w:color w:val="000000"/>
                <w:sz w:val="20"/>
                <w:szCs w:val="20"/>
              </w:rPr>
            </w:pPr>
            <w:r w:rsidRPr="00A30D85">
              <w:rPr>
                <w:color w:val="000000"/>
                <w:sz w:val="20"/>
                <w:szCs w:val="20"/>
              </w:rPr>
              <w:t>1964</w:t>
            </w:r>
          </w:p>
        </w:tc>
        <w:tc>
          <w:tcPr>
            <w:tcW w:w="1843" w:type="dxa"/>
            <w:tcBorders>
              <w:top w:val="single" w:sz="4" w:space="0" w:color="auto"/>
              <w:left w:val="nil"/>
              <w:bottom w:val="single" w:sz="18" w:space="0" w:color="auto"/>
              <w:right w:val="single" w:sz="18" w:space="0" w:color="auto"/>
            </w:tcBorders>
            <w:shd w:val="clear" w:color="auto" w:fill="auto"/>
            <w:noWrap/>
            <w:vAlign w:val="center"/>
            <w:hideMark/>
          </w:tcPr>
          <w:p w:rsidR="008A19EF" w:rsidRPr="00A30D85" w:rsidRDefault="008A19EF" w:rsidP="00A30D85">
            <w:pPr>
              <w:spacing w:line="240" w:lineRule="auto"/>
              <w:jc w:val="right"/>
              <w:rPr>
                <w:color w:val="000000"/>
                <w:sz w:val="20"/>
                <w:szCs w:val="20"/>
              </w:rPr>
            </w:pPr>
            <w:r w:rsidRPr="00A30D85">
              <w:rPr>
                <w:color w:val="000000"/>
                <w:sz w:val="20"/>
                <w:szCs w:val="20"/>
              </w:rPr>
              <w:t>44698</w:t>
            </w:r>
          </w:p>
        </w:tc>
      </w:tr>
      <w:tr w:rsidR="008A19EF" w:rsidRPr="00344365" w:rsidTr="00A30D85">
        <w:trPr>
          <w:trHeight w:val="300"/>
          <w:jc w:val="center"/>
        </w:trPr>
        <w:tc>
          <w:tcPr>
            <w:tcW w:w="2850" w:type="dxa"/>
            <w:tcBorders>
              <w:top w:val="single" w:sz="18" w:space="0" w:color="auto"/>
              <w:left w:val="single" w:sz="18" w:space="0" w:color="auto"/>
              <w:bottom w:val="single" w:sz="18" w:space="0" w:color="auto"/>
              <w:right w:val="single" w:sz="4" w:space="0" w:color="auto"/>
            </w:tcBorders>
            <w:shd w:val="clear" w:color="auto" w:fill="FFFF00"/>
            <w:noWrap/>
            <w:vAlign w:val="center"/>
            <w:hideMark/>
          </w:tcPr>
          <w:p w:rsidR="008A19EF" w:rsidRPr="00A30D85" w:rsidRDefault="008A19EF" w:rsidP="00A30D85">
            <w:pPr>
              <w:spacing w:line="240" w:lineRule="auto"/>
              <w:contextualSpacing/>
              <w:rPr>
                <w:color w:val="000000"/>
                <w:sz w:val="20"/>
                <w:szCs w:val="20"/>
              </w:rPr>
            </w:pPr>
            <w:r w:rsidRPr="00A30D85">
              <w:rPr>
                <w:color w:val="000000"/>
                <w:sz w:val="20"/>
                <w:szCs w:val="20"/>
              </w:rPr>
              <w:t>Stredné Slovensko</w:t>
            </w:r>
          </w:p>
        </w:tc>
        <w:tc>
          <w:tcPr>
            <w:tcW w:w="2127" w:type="dxa"/>
            <w:tcBorders>
              <w:top w:val="single" w:sz="18" w:space="0" w:color="auto"/>
              <w:left w:val="nil"/>
              <w:bottom w:val="single" w:sz="18" w:space="0" w:color="auto"/>
              <w:right w:val="single" w:sz="4" w:space="0" w:color="auto"/>
            </w:tcBorders>
            <w:shd w:val="clear" w:color="auto" w:fill="FFFF00"/>
            <w:noWrap/>
            <w:vAlign w:val="center"/>
            <w:hideMark/>
          </w:tcPr>
          <w:p w:rsidR="008A19EF" w:rsidRPr="00A30D85" w:rsidRDefault="008A19EF" w:rsidP="00A30D85">
            <w:pPr>
              <w:spacing w:line="240" w:lineRule="auto"/>
              <w:jc w:val="right"/>
              <w:rPr>
                <w:color w:val="000000"/>
                <w:sz w:val="20"/>
                <w:szCs w:val="20"/>
              </w:rPr>
            </w:pPr>
            <w:r w:rsidRPr="00A30D85">
              <w:rPr>
                <w:color w:val="000000"/>
                <w:sz w:val="20"/>
                <w:szCs w:val="20"/>
              </w:rPr>
              <w:t>3207</w:t>
            </w:r>
          </w:p>
        </w:tc>
        <w:tc>
          <w:tcPr>
            <w:tcW w:w="1984" w:type="dxa"/>
            <w:tcBorders>
              <w:top w:val="single" w:sz="18" w:space="0" w:color="auto"/>
              <w:left w:val="nil"/>
              <w:bottom w:val="single" w:sz="18" w:space="0" w:color="auto"/>
              <w:right w:val="single" w:sz="4" w:space="0" w:color="auto"/>
            </w:tcBorders>
            <w:shd w:val="clear" w:color="auto" w:fill="FFFF00"/>
            <w:noWrap/>
            <w:vAlign w:val="center"/>
            <w:hideMark/>
          </w:tcPr>
          <w:p w:rsidR="008A19EF" w:rsidRPr="00A30D85" w:rsidRDefault="008A19EF" w:rsidP="00A30D85">
            <w:pPr>
              <w:spacing w:line="240" w:lineRule="auto"/>
              <w:jc w:val="right"/>
              <w:rPr>
                <w:color w:val="000000"/>
                <w:sz w:val="20"/>
                <w:szCs w:val="20"/>
              </w:rPr>
            </w:pPr>
            <w:r w:rsidRPr="00A30D85">
              <w:rPr>
                <w:color w:val="000000"/>
                <w:sz w:val="20"/>
                <w:szCs w:val="20"/>
              </w:rPr>
              <w:t>2668</w:t>
            </w:r>
          </w:p>
        </w:tc>
        <w:tc>
          <w:tcPr>
            <w:tcW w:w="1843" w:type="dxa"/>
            <w:tcBorders>
              <w:top w:val="single" w:sz="18" w:space="0" w:color="auto"/>
              <w:left w:val="nil"/>
              <w:bottom w:val="single" w:sz="18" w:space="0" w:color="auto"/>
              <w:right w:val="single" w:sz="18" w:space="0" w:color="auto"/>
            </w:tcBorders>
            <w:shd w:val="clear" w:color="auto" w:fill="FFFF00"/>
            <w:noWrap/>
            <w:vAlign w:val="center"/>
            <w:hideMark/>
          </w:tcPr>
          <w:p w:rsidR="008A19EF" w:rsidRPr="00A30D85" w:rsidRDefault="008A19EF" w:rsidP="00A30D85">
            <w:pPr>
              <w:spacing w:line="240" w:lineRule="auto"/>
              <w:jc w:val="right"/>
              <w:rPr>
                <w:color w:val="000000"/>
                <w:sz w:val="20"/>
                <w:szCs w:val="20"/>
              </w:rPr>
            </w:pPr>
            <w:r w:rsidRPr="00A30D85">
              <w:rPr>
                <w:color w:val="000000"/>
                <w:sz w:val="20"/>
                <w:szCs w:val="20"/>
              </w:rPr>
              <w:t>91176</w:t>
            </w:r>
          </w:p>
        </w:tc>
      </w:tr>
      <w:tr w:rsidR="008A19EF" w:rsidRPr="00344365" w:rsidTr="00A30D85">
        <w:trPr>
          <w:trHeight w:val="300"/>
          <w:jc w:val="center"/>
        </w:trPr>
        <w:tc>
          <w:tcPr>
            <w:tcW w:w="2850" w:type="dxa"/>
            <w:tcBorders>
              <w:top w:val="single" w:sz="18" w:space="0" w:color="auto"/>
              <w:left w:val="single" w:sz="18" w:space="0" w:color="auto"/>
              <w:bottom w:val="single" w:sz="4" w:space="0" w:color="auto"/>
              <w:right w:val="single" w:sz="4" w:space="0" w:color="auto"/>
            </w:tcBorders>
            <w:shd w:val="clear" w:color="auto" w:fill="auto"/>
            <w:noWrap/>
            <w:vAlign w:val="center"/>
            <w:hideMark/>
          </w:tcPr>
          <w:p w:rsidR="008A19EF" w:rsidRPr="00A30D85" w:rsidRDefault="008A19EF" w:rsidP="00A30D85">
            <w:pPr>
              <w:spacing w:line="240" w:lineRule="auto"/>
              <w:contextualSpacing/>
              <w:rPr>
                <w:color w:val="000000"/>
                <w:sz w:val="20"/>
                <w:szCs w:val="20"/>
              </w:rPr>
            </w:pPr>
            <w:r w:rsidRPr="00A30D85">
              <w:rPr>
                <w:color w:val="000000"/>
                <w:sz w:val="20"/>
                <w:szCs w:val="20"/>
              </w:rPr>
              <w:t>Žilinský kraj</w:t>
            </w:r>
          </w:p>
        </w:tc>
        <w:tc>
          <w:tcPr>
            <w:tcW w:w="2127" w:type="dxa"/>
            <w:tcBorders>
              <w:top w:val="single" w:sz="18" w:space="0" w:color="auto"/>
              <w:left w:val="nil"/>
              <w:bottom w:val="single" w:sz="4" w:space="0" w:color="auto"/>
              <w:right w:val="single" w:sz="4" w:space="0" w:color="auto"/>
            </w:tcBorders>
            <w:shd w:val="clear" w:color="auto" w:fill="auto"/>
            <w:noWrap/>
            <w:vAlign w:val="center"/>
            <w:hideMark/>
          </w:tcPr>
          <w:p w:rsidR="008A19EF" w:rsidRPr="00A30D85" w:rsidRDefault="008A19EF" w:rsidP="00A30D85">
            <w:pPr>
              <w:spacing w:line="240" w:lineRule="auto"/>
              <w:jc w:val="right"/>
              <w:rPr>
                <w:color w:val="000000"/>
                <w:sz w:val="20"/>
                <w:szCs w:val="20"/>
              </w:rPr>
            </w:pPr>
            <w:r w:rsidRPr="00A30D85">
              <w:rPr>
                <w:color w:val="000000"/>
                <w:sz w:val="20"/>
                <w:szCs w:val="20"/>
              </w:rPr>
              <w:t>1602</w:t>
            </w:r>
          </w:p>
        </w:tc>
        <w:tc>
          <w:tcPr>
            <w:tcW w:w="1984" w:type="dxa"/>
            <w:tcBorders>
              <w:top w:val="single" w:sz="18" w:space="0" w:color="auto"/>
              <w:left w:val="nil"/>
              <w:bottom w:val="single" w:sz="4" w:space="0" w:color="auto"/>
              <w:right w:val="single" w:sz="4" w:space="0" w:color="auto"/>
            </w:tcBorders>
            <w:shd w:val="clear" w:color="auto" w:fill="auto"/>
            <w:noWrap/>
            <w:vAlign w:val="center"/>
            <w:hideMark/>
          </w:tcPr>
          <w:p w:rsidR="008A19EF" w:rsidRPr="00A30D85" w:rsidRDefault="008A19EF" w:rsidP="00A30D85">
            <w:pPr>
              <w:spacing w:line="240" w:lineRule="auto"/>
              <w:jc w:val="right"/>
              <w:rPr>
                <w:color w:val="000000"/>
                <w:sz w:val="20"/>
                <w:szCs w:val="20"/>
              </w:rPr>
            </w:pPr>
            <w:r w:rsidRPr="00A30D85">
              <w:rPr>
                <w:color w:val="000000"/>
                <w:sz w:val="20"/>
                <w:szCs w:val="20"/>
              </w:rPr>
              <w:t>1161</w:t>
            </w:r>
          </w:p>
        </w:tc>
        <w:tc>
          <w:tcPr>
            <w:tcW w:w="1843" w:type="dxa"/>
            <w:tcBorders>
              <w:top w:val="single" w:sz="18" w:space="0" w:color="auto"/>
              <w:left w:val="nil"/>
              <w:bottom w:val="single" w:sz="4" w:space="0" w:color="auto"/>
              <w:right w:val="single" w:sz="18" w:space="0" w:color="auto"/>
            </w:tcBorders>
            <w:shd w:val="clear" w:color="auto" w:fill="auto"/>
            <w:noWrap/>
            <w:vAlign w:val="center"/>
            <w:hideMark/>
          </w:tcPr>
          <w:p w:rsidR="008A19EF" w:rsidRPr="00A30D85" w:rsidRDefault="008A19EF" w:rsidP="00A30D85">
            <w:pPr>
              <w:spacing w:line="240" w:lineRule="auto"/>
              <w:jc w:val="right"/>
              <w:rPr>
                <w:color w:val="000000"/>
                <w:sz w:val="20"/>
                <w:szCs w:val="20"/>
              </w:rPr>
            </w:pPr>
            <w:r w:rsidRPr="00A30D85">
              <w:rPr>
                <w:color w:val="000000"/>
                <w:sz w:val="20"/>
                <w:szCs w:val="20"/>
              </w:rPr>
              <w:t>52456</w:t>
            </w:r>
          </w:p>
        </w:tc>
      </w:tr>
      <w:tr w:rsidR="008A19EF" w:rsidRPr="00344365" w:rsidTr="00A30D85">
        <w:trPr>
          <w:trHeight w:val="300"/>
          <w:jc w:val="center"/>
        </w:trPr>
        <w:tc>
          <w:tcPr>
            <w:tcW w:w="2850" w:type="dxa"/>
            <w:tcBorders>
              <w:top w:val="single" w:sz="4" w:space="0" w:color="auto"/>
              <w:left w:val="single" w:sz="18" w:space="0" w:color="auto"/>
              <w:bottom w:val="single" w:sz="18" w:space="0" w:color="auto"/>
              <w:right w:val="single" w:sz="4" w:space="0" w:color="auto"/>
            </w:tcBorders>
            <w:shd w:val="clear" w:color="auto" w:fill="auto"/>
            <w:noWrap/>
            <w:vAlign w:val="center"/>
            <w:hideMark/>
          </w:tcPr>
          <w:p w:rsidR="008A19EF" w:rsidRPr="00A30D85" w:rsidRDefault="008A19EF" w:rsidP="00A30D85">
            <w:pPr>
              <w:spacing w:line="240" w:lineRule="auto"/>
              <w:contextualSpacing/>
              <w:rPr>
                <w:color w:val="000000"/>
                <w:sz w:val="20"/>
                <w:szCs w:val="20"/>
              </w:rPr>
            </w:pPr>
            <w:r w:rsidRPr="00A30D85">
              <w:rPr>
                <w:color w:val="000000"/>
                <w:sz w:val="20"/>
                <w:szCs w:val="20"/>
              </w:rPr>
              <w:t>Banskobystrický kraj</w:t>
            </w:r>
          </w:p>
        </w:tc>
        <w:tc>
          <w:tcPr>
            <w:tcW w:w="2127" w:type="dxa"/>
            <w:tcBorders>
              <w:top w:val="single" w:sz="4" w:space="0" w:color="auto"/>
              <w:left w:val="nil"/>
              <w:bottom w:val="single" w:sz="18" w:space="0" w:color="auto"/>
              <w:right w:val="single" w:sz="4" w:space="0" w:color="auto"/>
            </w:tcBorders>
            <w:shd w:val="clear" w:color="auto" w:fill="auto"/>
            <w:noWrap/>
            <w:vAlign w:val="center"/>
            <w:hideMark/>
          </w:tcPr>
          <w:p w:rsidR="008A19EF" w:rsidRPr="00A30D85" w:rsidRDefault="008A19EF" w:rsidP="00A30D85">
            <w:pPr>
              <w:spacing w:line="240" w:lineRule="auto"/>
              <w:jc w:val="right"/>
              <w:rPr>
                <w:color w:val="000000"/>
                <w:sz w:val="20"/>
                <w:szCs w:val="20"/>
              </w:rPr>
            </w:pPr>
            <w:r w:rsidRPr="00A30D85">
              <w:rPr>
                <w:color w:val="000000"/>
                <w:sz w:val="20"/>
                <w:szCs w:val="20"/>
              </w:rPr>
              <w:t>1605</w:t>
            </w:r>
          </w:p>
        </w:tc>
        <w:tc>
          <w:tcPr>
            <w:tcW w:w="1984" w:type="dxa"/>
            <w:tcBorders>
              <w:top w:val="single" w:sz="4" w:space="0" w:color="auto"/>
              <w:left w:val="nil"/>
              <w:bottom w:val="single" w:sz="18" w:space="0" w:color="auto"/>
              <w:right w:val="single" w:sz="4" w:space="0" w:color="auto"/>
            </w:tcBorders>
            <w:shd w:val="clear" w:color="auto" w:fill="auto"/>
            <w:noWrap/>
            <w:vAlign w:val="center"/>
            <w:hideMark/>
          </w:tcPr>
          <w:p w:rsidR="008A19EF" w:rsidRPr="00A30D85" w:rsidRDefault="008A19EF" w:rsidP="00A30D85">
            <w:pPr>
              <w:spacing w:line="240" w:lineRule="auto"/>
              <w:jc w:val="right"/>
              <w:rPr>
                <w:color w:val="000000"/>
                <w:sz w:val="20"/>
                <w:szCs w:val="20"/>
              </w:rPr>
            </w:pPr>
            <w:r w:rsidRPr="00A30D85">
              <w:rPr>
                <w:color w:val="000000"/>
                <w:sz w:val="20"/>
                <w:szCs w:val="20"/>
              </w:rPr>
              <w:t>1508</w:t>
            </w:r>
          </w:p>
        </w:tc>
        <w:tc>
          <w:tcPr>
            <w:tcW w:w="1843" w:type="dxa"/>
            <w:tcBorders>
              <w:top w:val="single" w:sz="4" w:space="0" w:color="auto"/>
              <w:left w:val="nil"/>
              <w:bottom w:val="single" w:sz="18" w:space="0" w:color="auto"/>
              <w:right w:val="single" w:sz="18" w:space="0" w:color="auto"/>
            </w:tcBorders>
            <w:shd w:val="clear" w:color="auto" w:fill="auto"/>
            <w:noWrap/>
            <w:vAlign w:val="center"/>
            <w:hideMark/>
          </w:tcPr>
          <w:p w:rsidR="008A19EF" w:rsidRPr="00A30D85" w:rsidRDefault="008A19EF" w:rsidP="00A30D85">
            <w:pPr>
              <w:spacing w:line="240" w:lineRule="auto"/>
              <w:jc w:val="right"/>
              <w:rPr>
                <w:color w:val="000000"/>
                <w:sz w:val="20"/>
                <w:szCs w:val="20"/>
              </w:rPr>
            </w:pPr>
            <w:r w:rsidRPr="00A30D85">
              <w:rPr>
                <w:color w:val="000000"/>
                <w:sz w:val="20"/>
                <w:szCs w:val="20"/>
              </w:rPr>
              <w:t>38720</w:t>
            </w:r>
          </w:p>
        </w:tc>
      </w:tr>
      <w:tr w:rsidR="008A19EF" w:rsidRPr="00344365" w:rsidTr="00A30D85">
        <w:trPr>
          <w:trHeight w:val="300"/>
          <w:jc w:val="center"/>
        </w:trPr>
        <w:tc>
          <w:tcPr>
            <w:tcW w:w="2850" w:type="dxa"/>
            <w:tcBorders>
              <w:top w:val="single" w:sz="18" w:space="0" w:color="auto"/>
              <w:left w:val="single" w:sz="18" w:space="0" w:color="auto"/>
              <w:bottom w:val="single" w:sz="18" w:space="0" w:color="auto"/>
              <w:right w:val="single" w:sz="4" w:space="0" w:color="auto"/>
            </w:tcBorders>
            <w:shd w:val="clear" w:color="auto" w:fill="FFFF00"/>
            <w:noWrap/>
            <w:vAlign w:val="center"/>
            <w:hideMark/>
          </w:tcPr>
          <w:p w:rsidR="008A19EF" w:rsidRPr="00A30D85" w:rsidRDefault="008A19EF" w:rsidP="00A30D85">
            <w:pPr>
              <w:spacing w:line="240" w:lineRule="auto"/>
              <w:contextualSpacing/>
              <w:rPr>
                <w:color w:val="000000"/>
                <w:sz w:val="20"/>
                <w:szCs w:val="20"/>
              </w:rPr>
            </w:pPr>
            <w:r w:rsidRPr="00A30D85">
              <w:rPr>
                <w:color w:val="000000"/>
                <w:sz w:val="20"/>
                <w:szCs w:val="20"/>
              </w:rPr>
              <w:t>Východné Slovensko</w:t>
            </w:r>
          </w:p>
        </w:tc>
        <w:tc>
          <w:tcPr>
            <w:tcW w:w="2127" w:type="dxa"/>
            <w:tcBorders>
              <w:top w:val="single" w:sz="18" w:space="0" w:color="auto"/>
              <w:left w:val="nil"/>
              <w:bottom w:val="single" w:sz="18" w:space="0" w:color="auto"/>
              <w:right w:val="single" w:sz="4" w:space="0" w:color="auto"/>
            </w:tcBorders>
            <w:shd w:val="clear" w:color="auto" w:fill="FFFF00"/>
            <w:noWrap/>
            <w:vAlign w:val="center"/>
            <w:hideMark/>
          </w:tcPr>
          <w:p w:rsidR="008A19EF" w:rsidRPr="00A30D85" w:rsidRDefault="008A19EF" w:rsidP="00A30D85">
            <w:pPr>
              <w:spacing w:line="240" w:lineRule="auto"/>
              <w:jc w:val="right"/>
              <w:rPr>
                <w:color w:val="000000"/>
                <w:sz w:val="20"/>
                <w:szCs w:val="20"/>
              </w:rPr>
            </w:pPr>
            <w:r w:rsidRPr="00A30D85">
              <w:rPr>
                <w:color w:val="000000"/>
                <w:sz w:val="20"/>
                <w:szCs w:val="20"/>
              </w:rPr>
              <w:t>4108</w:t>
            </w:r>
          </w:p>
        </w:tc>
        <w:tc>
          <w:tcPr>
            <w:tcW w:w="1984" w:type="dxa"/>
            <w:tcBorders>
              <w:top w:val="single" w:sz="18" w:space="0" w:color="auto"/>
              <w:left w:val="nil"/>
              <w:bottom w:val="single" w:sz="18" w:space="0" w:color="auto"/>
              <w:right w:val="single" w:sz="4" w:space="0" w:color="auto"/>
            </w:tcBorders>
            <w:shd w:val="clear" w:color="auto" w:fill="FFFF00"/>
            <w:noWrap/>
            <w:vAlign w:val="center"/>
            <w:hideMark/>
          </w:tcPr>
          <w:p w:rsidR="008A19EF" w:rsidRPr="00A30D85" w:rsidRDefault="008A19EF" w:rsidP="00A30D85">
            <w:pPr>
              <w:spacing w:line="240" w:lineRule="auto"/>
              <w:jc w:val="right"/>
              <w:rPr>
                <w:color w:val="000000"/>
                <w:sz w:val="20"/>
                <w:szCs w:val="20"/>
              </w:rPr>
            </w:pPr>
            <w:r w:rsidRPr="00A30D85">
              <w:rPr>
                <w:color w:val="000000"/>
                <w:sz w:val="20"/>
                <w:szCs w:val="20"/>
              </w:rPr>
              <w:t>2352</w:t>
            </w:r>
          </w:p>
        </w:tc>
        <w:tc>
          <w:tcPr>
            <w:tcW w:w="1843" w:type="dxa"/>
            <w:tcBorders>
              <w:top w:val="single" w:sz="18" w:space="0" w:color="auto"/>
              <w:left w:val="nil"/>
              <w:bottom w:val="single" w:sz="18" w:space="0" w:color="auto"/>
              <w:right w:val="single" w:sz="18" w:space="0" w:color="auto"/>
            </w:tcBorders>
            <w:shd w:val="clear" w:color="auto" w:fill="FFFF00"/>
            <w:noWrap/>
            <w:vAlign w:val="center"/>
            <w:hideMark/>
          </w:tcPr>
          <w:p w:rsidR="008A19EF" w:rsidRPr="00A30D85" w:rsidRDefault="008A19EF" w:rsidP="00A30D85">
            <w:pPr>
              <w:spacing w:line="240" w:lineRule="auto"/>
              <w:jc w:val="right"/>
              <w:rPr>
                <w:color w:val="000000"/>
                <w:sz w:val="20"/>
                <w:szCs w:val="20"/>
              </w:rPr>
            </w:pPr>
            <w:r w:rsidRPr="00A30D85">
              <w:rPr>
                <w:color w:val="000000"/>
                <w:sz w:val="20"/>
                <w:szCs w:val="20"/>
              </w:rPr>
              <w:t>87485</w:t>
            </w:r>
          </w:p>
        </w:tc>
      </w:tr>
      <w:tr w:rsidR="008A19EF" w:rsidRPr="00344365" w:rsidTr="00A30D85">
        <w:trPr>
          <w:trHeight w:val="300"/>
          <w:jc w:val="center"/>
        </w:trPr>
        <w:tc>
          <w:tcPr>
            <w:tcW w:w="2850" w:type="dxa"/>
            <w:tcBorders>
              <w:top w:val="single" w:sz="18" w:space="0" w:color="auto"/>
              <w:left w:val="single" w:sz="18" w:space="0" w:color="auto"/>
              <w:bottom w:val="single" w:sz="4" w:space="0" w:color="auto"/>
              <w:right w:val="single" w:sz="4" w:space="0" w:color="auto"/>
            </w:tcBorders>
            <w:shd w:val="clear" w:color="auto" w:fill="auto"/>
            <w:noWrap/>
            <w:vAlign w:val="center"/>
            <w:hideMark/>
          </w:tcPr>
          <w:p w:rsidR="008A19EF" w:rsidRPr="00A30D85" w:rsidRDefault="008A19EF" w:rsidP="00A30D85">
            <w:pPr>
              <w:spacing w:line="240" w:lineRule="auto"/>
              <w:contextualSpacing/>
              <w:rPr>
                <w:color w:val="000000"/>
                <w:sz w:val="20"/>
                <w:szCs w:val="20"/>
              </w:rPr>
            </w:pPr>
            <w:r w:rsidRPr="00A30D85">
              <w:rPr>
                <w:color w:val="000000"/>
                <w:sz w:val="20"/>
                <w:szCs w:val="20"/>
              </w:rPr>
              <w:t>Prešovský kraj</w:t>
            </w:r>
          </w:p>
        </w:tc>
        <w:tc>
          <w:tcPr>
            <w:tcW w:w="2127" w:type="dxa"/>
            <w:tcBorders>
              <w:top w:val="single" w:sz="18" w:space="0" w:color="auto"/>
              <w:left w:val="nil"/>
              <w:bottom w:val="single" w:sz="4" w:space="0" w:color="auto"/>
              <w:right w:val="single" w:sz="4" w:space="0" w:color="auto"/>
            </w:tcBorders>
            <w:shd w:val="clear" w:color="auto" w:fill="auto"/>
            <w:noWrap/>
            <w:vAlign w:val="center"/>
            <w:hideMark/>
          </w:tcPr>
          <w:p w:rsidR="008A19EF" w:rsidRPr="00A30D85" w:rsidRDefault="008A19EF" w:rsidP="00A30D85">
            <w:pPr>
              <w:spacing w:line="240" w:lineRule="auto"/>
              <w:jc w:val="right"/>
              <w:rPr>
                <w:color w:val="000000"/>
                <w:sz w:val="20"/>
                <w:szCs w:val="20"/>
              </w:rPr>
            </w:pPr>
            <w:r w:rsidRPr="00A30D85">
              <w:rPr>
                <w:color w:val="000000"/>
                <w:sz w:val="20"/>
                <w:szCs w:val="20"/>
              </w:rPr>
              <w:t>1890</w:t>
            </w:r>
          </w:p>
        </w:tc>
        <w:tc>
          <w:tcPr>
            <w:tcW w:w="1984" w:type="dxa"/>
            <w:tcBorders>
              <w:top w:val="single" w:sz="18" w:space="0" w:color="auto"/>
              <w:left w:val="nil"/>
              <w:bottom w:val="single" w:sz="4" w:space="0" w:color="auto"/>
              <w:right w:val="single" w:sz="4" w:space="0" w:color="auto"/>
            </w:tcBorders>
            <w:shd w:val="clear" w:color="auto" w:fill="auto"/>
            <w:noWrap/>
            <w:vAlign w:val="center"/>
            <w:hideMark/>
          </w:tcPr>
          <w:p w:rsidR="008A19EF" w:rsidRPr="00A30D85" w:rsidRDefault="008A19EF" w:rsidP="00A30D85">
            <w:pPr>
              <w:spacing w:line="240" w:lineRule="auto"/>
              <w:jc w:val="right"/>
              <w:rPr>
                <w:color w:val="000000"/>
                <w:sz w:val="20"/>
                <w:szCs w:val="20"/>
              </w:rPr>
            </w:pPr>
            <w:r w:rsidRPr="00A30D85">
              <w:rPr>
                <w:color w:val="000000"/>
                <w:sz w:val="20"/>
                <w:szCs w:val="20"/>
              </w:rPr>
              <w:t>1011</w:t>
            </w:r>
          </w:p>
        </w:tc>
        <w:tc>
          <w:tcPr>
            <w:tcW w:w="1843" w:type="dxa"/>
            <w:tcBorders>
              <w:top w:val="single" w:sz="18" w:space="0" w:color="auto"/>
              <w:left w:val="nil"/>
              <w:bottom w:val="single" w:sz="4" w:space="0" w:color="auto"/>
              <w:right w:val="single" w:sz="18" w:space="0" w:color="auto"/>
            </w:tcBorders>
            <w:shd w:val="clear" w:color="auto" w:fill="auto"/>
            <w:noWrap/>
            <w:vAlign w:val="center"/>
            <w:hideMark/>
          </w:tcPr>
          <w:p w:rsidR="008A19EF" w:rsidRPr="00A30D85" w:rsidRDefault="008A19EF" w:rsidP="00A30D85">
            <w:pPr>
              <w:spacing w:line="240" w:lineRule="auto"/>
              <w:jc w:val="right"/>
              <w:rPr>
                <w:color w:val="000000"/>
                <w:sz w:val="20"/>
                <w:szCs w:val="20"/>
              </w:rPr>
            </w:pPr>
            <w:r w:rsidRPr="00A30D85">
              <w:rPr>
                <w:color w:val="000000"/>
                <w:sz w:val="20"/>
                <w:szCs w:val="20"/>
              </w:rPr>
              <w:t>50086</w:t>
            </w:r>
          </w:p>
        </w:tc>
      </w:tr>
      <w:tr w:rsidR="008A19EF" w:rsidRPr="00344365" w:rsidTr="00A30D85">
        <w:trPr>
          <w:trHeight w:val="300"/>
          <w:jc w:val="center"/>
        </w:trPr>
        <w:tc>
          <w:tcPr>
            <w:tcW w:w="2850" w:type="dxa"/>
            <w:tcBorders>
              <w:top w:val="single" w:sz="4" w:space="0" w:color="auto"/>
              <w:left w:val="single" w:sz="18" w:space="0" w:color="auto"/>
              <w:bottom w:val="single" w:sz="18" w:space="0" w:color="auto"/>
              <w:right w:val="single" w:sz="4" w:space="0" w:color="auto"/>
            </w:tcBorders>
            <w:shd w:val="clear" w:color="auto" w:fill="auto"/>
            <w:noWrap/>
            <w:vAlign w:val="center"/>
            <w:hideMark/>
          </w:tcPr>
          <w:p w:rsidR="008A19EF" w:rsidRPr="00A30D85" w:rsidRDefault="008A19EF" w:rsidP="00A30D85">
            <w:pPr>
              <w:spacing w:line="240" w:lineRule="auto"/>
              <w:contextualSpacing/>
              <w:rPr>
                <w:color w:val="000000"/>
                <w:sz w:val="20"/>
                <w:szCs w:val="20"/>
              </w:rPr>
            </w:pPr>
            <w:r w:rsidRPr="00A30D85">
              <w:rPr>
                <w:color w:val="000000"/>
                <w:sz w:val="20"/>
                <w:szCs w:val="20"/>
              </w:rPr>
              <w:t>Košický kraj</w:t>
            </w:r>
          </w:p>
        </w:tc>
        <w:tc>
          <w:tcPr>
            <w:tcW w:w="2127" w:type="dxa"/>
            <w:tcBorders>
              <w:top w:val="single" w:sz="4" w:space="0" w:color="auto"/>
              <w:left w:val="nil"/>
              <w:bottom w:val="single" w:sz="18" w:space="0" w:color="auto"/>
              <w:right w:val="single" w:sz="4" w:space="0" w:color="auto"/>
            </w:tcBorders>
            <w:shd w:val="clear" w:color="auto" w:fill="auto"/>
            <w:noWrap/>
            <w:vAlign w:val="center"/>
            <w:hideMark/>
          </w:tcPr>
          <w:p w:rsidR="008A19EF" w:rsidRPr="00A30D85" w:rsidRDefault="008A19EF" w:rsidP="00A30D85">
            <w:pPr>
              <w:spacing w:line="240" w:lineRule="auto"/>
              <w:jc w:val="right"/>
              <w:rPr>
                <w:color w:val="000000"/>
                <w:sz w:val="20"/>
                <w:szCs w:val="20"/>
              </w:rPr>
            </w:pPr>
            <w:r w:rsidRPr="00A30D85">
              <w:rPr>
                <w:color w:val="000000"/>
                <w:sz w:val="20"/>
                <w:szCs w:val="20"/>
              </w:rPr>
              <w:t>2218</w:t>
            </w:r>
          </w:p>
        </w:tc>
        <w:tc>
          <w:tcPr>
            <w:tcW w:w="1984" w:type="dxa"/>
            <w:tcBorders>
              <w:top w:val="single" w:sz="4" w:space="0" w:color="auto"/>
              <w:left w:val="nil"/>
              <w:bottom w:val="single" w:sz="18" w:space="0" w:color="auto"/>
              <w:right w:val="single" w:sz="4" w:space="0" w:color="auto"/>
            </w:tcBorders>
            <w:shd w:val="clear" w:color="auto" w:fill="auto"/>
            <w:noWrap/>
            <w:vAlign w:val="center"/>
            <w:hideMark/>
          </w:tcPr>
          <w:p w:rsidR="008A19EF" w:rsidRPr="00A30D85" w:rsidRDefault="008A19EF" w:rsidP="00A30D85">
            <w:pPr>
              <w:spacing w:line="240" w:lineRule="auto"/>
              <w:jc w:val="right"/>
              <w:rPr>
                <w:color w:val="000000"/>
                <w:sz w:val="20"/>
                <w:szCs w:val="20"/>
              </w:rPr>
            </w:pPr>
            <w:r w:rsidRPr="00A30D85">
              <w:rPr>
                <w:color w:val="000000"/>
                <w:sz w:val="20"/>
                <w:szCs w:val="20"/>
              </w:rPr>
              <w:t>1342</w:t>
            </w:r>
          </w:p>
        </w:tc>
        <w:tc>
          <w:tcPr>
            <w:tcW w:w="1843" w:type="dxa"/>
            <w:tcBorders>
              <w:top w:val="single" w:sz="4" w:space="0" w:color="auto"/>
              <w:left w:val="nil"/>
              <w:bottom w:val="single" w:sz="18" w:space="0" w:color="auto"/>
              <w:right w:val="single" w:sz="18" w:space="0" w:color="auto"/>
            </w:tcBorders>
            <w:shd w:val="clear" w:color="auto" w:fill="auto"/>
            <w:noWrap/>
            <w:vAlign w:val="center"/>
            <w:hideMark/>
          </w:tcPr>
          <w:p w:rsidR="008A19EF" w:rsidRPr="00A30D85" w:rsidRDefault="008A19EF" w:rsidP="00A30D85">
            <w:pPr>
              <w:spacing w:line="240" w:lineRule="auto"/>
              <w:jc w:val="right"/>
              <w:rPr>
                <w:color w:val="000000"/>
                <w:sz w:val="20"/>
                <w:szCs w:val="20"/>
              </w:rPr>
            </w:pPr>
            <w:r w:rsidRPr="00A30D85">
              <w:rPr>
                <w:color w:val="000000"/>
                <w:sz w:val="20"/>
                <w:szCs w:val="20"/>
              </w:rPr>
              <w:t>37400</w:t>
            </w:r>
          </w:p>
        </w:tc>
      </w:tr>
    </w:tbl>
    <w:p w:rsidR="008A19EF" w:rsidRPr="00344365" w:rsidRDefault="008A19EF" w:rsidP="00A30D85">
      <w:pPr>
        <w:spacing w:line="240" w:lineRule="auto"/>
        <w:contextualSpacing/>
      </w:pPr>
      <w:r w:rsidRPr="00344365">
        <w:rPr>
          <w:bCs/>
        </w:rPr>
        <w:t>Zdroj: ŠÚ SR</w:t>
      </w:r>
    </w:p>
    <w:p w:rsidR="008A19EF" w:rsidRDefault="008A19EF" w:rsidP="008A19EF">
      <w:pPr>
        <w:contextualSpacing/>
      </w:pPr>
    </w:p>
    <w:p w:rsidR="008A19EF" w:rsidRPr="00AE1161" w:rsidRDefault="00472F63" w:rsidP="00472F63">
      <w:pPr>
        <w:spacing w:before="0"/>
        <w:ind w:firstLine="720"/>
        <w:contextualSpacing/>
        <w:rPr>
          <w:u w:val="single"/>
        </w:rPr>
      </w:pPr>
      <w:r>
        <w:t xml:space="preserve">Z nasledujúcej tabuľky 5 môžeme usúdiť, že vývoj živnostníkov za jednotlivé roky, v rozmedzí od roku 2004 do roku 2008, mal rastúcu tendenciu, s výnimkou Bratislavského kraja, ktorého vývoj nadobúdal kolísavý charakter. </w:t>
      </w:r>
      <w:r w:rsidRPr="00AE1161">
        <w:t xml:space="preserve">Ak by sme porovnávali počet </w:t>
      </w:r>
      <w:r>
        <w:t>živnostníkov</w:t>
      </w:r>
      <w:r w:rsidRPr="00AE1161">
        <w:t xml:space="preserve"> v roku 2008 v porovnaní s rokom 2004 </w:t>
      </w:r>
      <w:r>
        <w:t>z pohľadu oblastí</w:t>
      </w:r>
      <w:r w:rsidRPr="00AE1161">
        <w:t>, potom ich najväčší nárast (až o</w:t>
      </w:r>
      <w:r>
        <w:t> 29 898</w:t>
      </w:r>
      <w:r w:rsidRPr="00AE1161">
        <w:t xml:space="preserve">) </w:t>
      </w:r>
      <w:r>
        <w:t xml:space="preserve">bol </w:t>
      </w:r>
      <w:r w:rsidRPr="00AE1161">
        <w:t>evid</w:t>
      </w:r>
      <w:r>
        <w:t>ovaný</w:t>
      </w:r>
      <w:r w:rsidRPr="00AE1161">
        <w:t xml:space="preserve"> v</w:t>
      </w:r>
      <w:r>
        <w:t xml:space="preserve"> oblasti Bratislavského kraja </w:t>
      </w:r>
      <w:r w:rsidRPr="00AE1161">
        <w:t>a najmenší (len o </w:t>
      </w:r>
      <w:r>
        <w:t>15</w:t>
      </w:r>
      <w:r w:rsidRPr="00AE1161">
        <w:t> </w:t>
      </w:r>
      <w:r>
        <w:t>129</w:t>
      </w:r>
      <w:r w:rsidRPr="00AE1161">
        <w:t>) v</w:t>
      </w:r>
      <w:r>
        <w:t> oblasti Stredného Slovenska, najmä v Banskobystrickom kraji (nárast o 6 440)</w:t>
      </w:r>
      <w:r w:rsidRPr="00AE1161">
        <w:t xml:space="preserve">. </w:t>
      </w:r>
      <w:r>
        <w:t xml:space="preserve">Naopak z pohľadu samosprávnych krajov bol najväčší nárast už v spomínanom Bratislavskom kraji, najmenší nárast (len o 4 291) sme zaznamenali v Košickom kraji. </w:t>
      </w:r>
      <w:r w:rsidRPr="00AE1161">
        <w:rPr>
          <w:bCs/>
        </w:rPr>
        <w:t xml:space="preserve">Počet </w:t>
      </w:r>
      <w:r>
        <w:rPr>
          <w:bCs/>
        </w:rPr>
        <w:t>živnostníkov</w:t>
      </w:r>
      <w:r w:rsidRPr="00AE1161">
        <w:rPr>
          <w:bCs/>
        </w:rPr>
        <w:t xml:space="preserve"> v jednotlivých oblastiach Slovenskej republiky v sledovanom období 2004 </w:t>
      </w:r>
      <w:r>
        <w:rPr>
          <w:bCs/>
        </w:rPr>
        <w:t>-</w:t>
      </w:r>
      <w:r w:rsidRPr="00AE1161">
        <w:rPr>
          <w:bCs/>
        </w:rPr>
        <w:t xml:space="preserve"> 2008 bližšie </w:t>
      </w:r>
      <w:r>
        <w:rPr>
          <w:bCs/>
        </w:rPr>
        <w:t>znázorňuje</w:t>
      </w:r>
      <w:r w:rsidRPr="00AE1161">
        <w:rPr>
          <w:bCs/>
        </w:rPr>
        <w:t xml:space="preserve"> </w:t>
      </w:r>
      <w:r>
        <w:rPr>
          <w:bCs/>
        </w:rPr>
        <w:t>obr.</w:t>
      </w:r>
      <w:r w:rsidRPr="00AE1161">
        <w:rPr>
          <w:bCs/>
        </w:rPr>
        <w:t xml:space="preserve"> </w:t>
      </w:r>
      <w:r>
        <w:rPr>
          <w:bCs/>
        </w:rPr>
        <w:t>3</w:t>
      </w:r>
      <w:r w:rsidRPr="00AE1161">
        <w:rPr>
          <w:bCs/>
        </w:rPr>
        <w:t>.</w:t>
      </w:r>
    </w:p>
    <w:p w:rsidR="008A19EF" w:rsidRDefault="008A19EF" w:rsidP="008A19EF">
      <w:pPr>
        <w:contextualSpacing/>
      </w:pPr>
    </w:p>
    <w:p w:rsidR="003747F5" w:rsidRDefault="003747F5" w:rsidP="008A19EF">
      <w:pPr>
        <w:contextualSpacing/>
      </w:pPr>
    </w:p>
    <w:p w:rsidR="003747F5" w:rsidRDefault="003747F5" w:rsidP="008A19EF">
      <w:pPr>
        <w:contextualSpacing/>
      </w:pPr>
    </w:p>
    <w:p w:rsidR="003747F5" w:rsidRDefault="003747F5" w:rsidP="008A19EF">
      <w:pPr>
        <w:contextualSpacing/>
      </w:pPr>
    </w:p>
    <w:p w:rsidR="003747F5" w:rsidRDefault="003747F5" w:rsidP="008A19EF">
      <w:pPr>
        <w:contextualSpacing/>
      </w:pPr>
    </w:p>
    <w:p w:rsidR="003747F5" w:rsidRDefault="003747F5" w:rsidP="008A19EF">
      <w:pPr>
        <w:contextualSpacing/>
      </w:pPr>
    </w:p>
    <w:p w:rsidR="003747F5" w:rsidRDefault="003747F5" w:rsidP="008A19EF">
      <w:pPr>
        <w:contextualSpacing/>
      </w:pPr>
    </w:p>
    <w:p w:rsidR="00472F63" w:rsidRDefault="00472F63" w:rsidP="008A19EF">
      <w:pPr>
        <w:contextualSpacing/>
      </w:pPr>
    </w:p>
    <w:p w:rsidR="008A19EF" w:rsidRPr="003747F5" w:rsidRDefault="008A19EF" w:rsidP="003747F5">
      <w:pPr>
        <w:spacing w:line="240" w:lineRule="auto"/>
        <w:contextualSpacing/>
      </w:pPr>
      <w:r>
        <w:rPr>
          <w:b/>
        </w:rPr>
        <w:lastRenderedPageBreak/>
        <w:t xml:space="preserve">Živnostníci na území SR </w:t>
      </w:r>
      <w:r w:rsidRPr="00344365">
        <w:rPr>
          <w:b/>
          <w:bCs/>
        </w:rPr>
        <w:t>v sledovanom období 2004 - 2008</w:t>
      </w:r>
      <w:r w:rsidRPr="00344365">
        <w:rPr>
          <w:b/>
        </w:rPr>
        <w:t xml:space="preserve"> </w:t>
      </w:r>
      <w:r w:rsidR="00A30D85">
        <w:rPr>
          <w:b/>
        </w:rPr>
        <w:t xml:space="preserve">                       </w:t>
      </w:r>
      <w:r w:rsidR="00A30D85" w:rsidRPr="00344365">
        <w:rPr>
          <w:b/>
        </w:rPr>
        <w:t xml:space="preserve">Tabuľka </w:t>
      </w:r>
      <w:r w:rsidR="00472F63">
        <w:rPr>
          <w:b/>
        </w:rPr>
        <w:t>5</w:t>
      </w:r>
      <w:r w:rsidRPr="00344365">
        <w:rPr>
          <w:b/>
        </w:rPr>
        <w:t xml:space="preserve">   </w:t>
      </w:r>
      <w:r>
        <w:rPr>
          <w:b/>
        </w:rPr>
        <w:t xml:space="preserve">                     </w:t>
      </w:r>
      <w:r w:rsidRPr="00344365">
        <w:rPr>
          <w:b/>
        </w:rPr>
        <w:t xml:space="preserve">     </w:t>
      </w:r>
    </w:p>
    <w:tbl>
      <w:tblPr>
        <w:tblW w:w="8804" w:type="dxa"/>
        <w:jc w:val="center"/>
        <w:tblInd w:w="55" w:type="dxa"/>
        <w:tblCellMar>
          <w:left w:w="70" w:type="dxa"/>
          <w:right w:w="70" w:type="dxa"/>
        </w:tblCellMar>
        <w:tblLook w:val="04A0"/>
      </w:tblPr>
      <w:tblGrid>
        <w:gridCol w:w="2940"/>
        <w:gridCol w:w="1186"/>
        <w:gridCol w:w="1134"/>
        <w:gridCol w:w="1276"/>
        <w:gridCol w:w="1134"/>
        <w:gridCol w:w="1134"/>
      </w:tblGrid>
      <w:tr w:rsidR="008A19EF" w:rsidRPr="00344365" w:rsidTr="00A30D85">
        <w:trPr>
          <w:trHeight w:val="300"/>
          <w:jc w:val="center"/>
        </w:trPr>
        <w:tc>
          <w:tcPr>
            <w:tcW w:w="2940" w:type="dxa"/>
            <w:vMerge w:val="restart"/>
            <w:tcBorders>
              <w:top w:val="single" w:sz="18" w:space="0" w:color="auto"/>
              <w:left w:val="single" w:sz="18" w:space="0" w:color="auto"/>
              <w:right w:val="single" w:sz="4" w:space="0" w:color="auto"/>
            </w:tcBorders>
            <w:shd w:val="clear" w:color="auto" w:fill="auto"/>
            <w:noWrap/>
            <w:vAlign w:val="center"/>
            <w:hideMark/>
          </w:tcPr>
          <w:p w:rsidR="008A19EF" w:rsidRPr="00A30D85" w:rsidRDefault="008A19EF" w:rsidP="003747F5">
            <w:pPr>
              <w:spacing w:line="240" w:lineRule="auto"/>
              <w:contextualSpacing/>
              <w:jc w:val="center"/>
              <w:rPr>
                <w:color w:val="000000"/>
                <w:sz w:val="20"/>
                <w:szCs w:val="20"/>
              </w:rPr>
            </w:pPr>
          </w:p>
        </w:tc>
        <w:tc>
          <w:tcPr>
            <w:tcW w:w="5864" w:type="dxa"/>
            <w:gridSpan w:val="5"/>
            <w:tcBorders>
              <w:top w:val="single" w:sz="18" w:space="0" w:color="auto"/>
              <w:left w:val="nil"/>
              <w:bottom w:val="single" w:sz="4" w:space="0" w:color="auto"/>
              <w:right w:val="single" w:sz="18" w:space="0" w:color="auto"/>
            </w:tcBorders>
            <w:shd w:val="clear" w:color="auto" w:fill="auto"/>
            <w:noWrap/>
            <w:vAlign w:val="center"/>
            <w:hideMark/>
          </w:tcPr>
          <w:p w:rsidR="008A19EF" w:rsidRPr="00A30D85" w:rsidRDefault="008A19EF" w:rsidP="003747F5">
            <w:pPr>
              <w:spacing w:line="240" w:lineRule="auto"/>
              <w:contextualSpacing/>
              <w:jc w:val="center"/>
              <w:rPr>
                <w:b/>
                <w:color w:val="000000"/>
                <w:sz w:val="20"/>
                <w:szCs w:val="20"/>
              </w:rPr>
            </w:pPr>
            <w:r w:rsidRPr="00A30D85">
              <w:rPr>
                <w:b/>
                <w:color w:val="000000"/>
                <w:sz w:val="20"/>
                <w:szCs w:val="20"/>
              </w:rPr>
              <w:t>Živnostníci</w:t>
            </w:r>
          </w:p>
        </w:tc>
      </w:tr>
      <w:tr w:rsidR="008A19EF" w:rsidRPr="00344365" w:rsidTr="00A30D85">
        <w:trPr>
          <w:trHeight w:val="300"/>
          <w:jc w:val="center"/>
        </w:trPr>
        <w:tc>
          <w:tcPr>
            <w:tcW w:w="2940" w:type="dxa"/>
            <w:vMerge/>
            <w:tcBorders>
              <w:left w:val="single" w:sz="18" w:space="0" w:color="auto"/>
              <w:bottom w:val="single" w:sz="18" w:space="0" w:color="auto"/>
              <w:right w:val="single" w:sz="4" w:space="0" w:color="auto"/>
            </w:tcBorders>
            <w:shd w:val="clear" w:color="auto" w:fill="auto"/>
            <w:noWrap/>
            <w:vAlign w:val="bottom"/>
            <w:hideMark/>
          </w:tcPr>
          <w:p w:rsidR="008A19EF" w:rsidRPr="00A30D85" w:rsidRDefault="008A19EF" w:rsidP="003747F5">
            <w:pPr>
              <w:spacing w:line="240" w:lineRule="auto"/>
              <w:contextualSpacing/>
              <w:rPr>
                <w:color w:val="000000"/>
                <w:sz w:val="20"/>
                <w:szCs w:val="20"/>
              </w:rPr>
            </w:pPr>
          </w:p>
        </w:tc>
        <w:tc>
          <w:tcPr>
            <w:tcW w:w="1186" w:type="dxa"/>
            <w:tcBorders>
              <w:top w:val="nil"/>
              <w:left w:val="nil"/>
              <w:bottom w:val="single" w:sz="18" w:space="0" w:color="auto"/>
              <w:right w:val="single" w:sz="4" w:space="0" w:color="auto"/>
            </w:tcBorders>
            <w:shd w:val="clear" w:color="auto" w:fill="auto"/>
            <w:noWrap/>
            <w:vAlign w:val="center"/>
            <w:hideMark/>
          </w:tcPr>
          <w:p w:rsidR="008A19EF" w:rsidRPr="00A30D85" w:rsidRDefault="008A19EF" w:rsidP="003747F5">
            <w:pPr>
              <w:spacing w:line="240" w:lineRule="auto"/>
              <w:contextualSpacing/>
              <w:jc w:val="center"/>
              <w:rPr>
                <w:b/>
                <w:color w:val="000000"/>
                <w:sz w:val="20"/>
                <w:szCs w:val="20"/>
              </w:rPr>
            </w:pPr>
            <w:r w:rsidRPr="00A30D85">
              <w:rPr>
                <w:b/>
                <w:color w:val="000000"/>
                <w:sz w:val="20"/>
                <w:szCs w:val="20"/>
              </w:rPr>
              <w:t>2004</w:t>
            </w:r>
          </w:p>
        </w:tc>
        <w:tc>
          <w:tcPr>
            <w:tcW w:w="1134" w:type="dxa"/>
            <w:tcBorders>
              <w:top w:val="nil"/>
              <w:left w:val="nil"/>
              <w:bottom w:val="single" w:sz="18" w:space="0" w:color="auto"/>
              <w:right w:val="single" w:sz="4" w:space="0" w:color="auto"/>
            </w:tcBorders>
            <w:shd w:val="clear" w:color="auto" w:fill="auto"/>
            <w:noWrap/>
            <w:vAlign w:val="center"/>
            <w:hideMark/>
          </w:tcPr>
          <w:p w:rsidR="008A19EF" w:rsidRPr="00A30D85" w:rsidRDefault="008A19EF" w:rsidP="003747F5">
            <w:pPr>
              <w:spacing w:line="240" w:lineRule="auto"/>
              <w:contextualSpacing/>
              <w:jc w:val="center"/>
              <w:rPr>
                <w:b/>
                <w:color w:val="000000"/>
                <w:sz w:val="20"/>
                <w:szCs w:val="20"/>
              </w:rPr>
            </w:pPr>
            <w:r w:rsidRPr="00A30D85">
              <w:rPr>
                <w:b/>
                <w:color w:val="000000"/>
                <w:sz w:val="20"/>
                <w:szCs w:val="20"/>
              </w:rPr>
              <w:t>2005</w:t>
            </w:r>
          </w:p>
        </w:tc>
        <w:tc>
          <w:tcPr>
            <w:tcW w:w="1276" w:type="dxa"/>
            <w:tcBorders>
              <w:top w:val="nil"/>
              <w:left w:val="nil"/>
              <w:bottom w:val="single" w:sz="18" w:space="0" w:color="auto"/>
              <w:right w:val="single" w:sz="4" w:space="0" w:color="auto"/>
            </w:tcBorders>
            <w:shd w:val="clear" w:color="auto" w:fill="auto"/>
            <w:noWrap/>
            <w:vAlign w:val="center"/>
            <w:hideMark/>
          </w:tcPr>
          <w:p w:rsidR="008A19EF" w:rsidRPr="00A30D85" w:rsidRDefault="008A19EF" w:rsidP="003747F5">
            <w:pPr>
              <w:spacing w:line="240" w:lineRule="auto"/>
              <w:contextualSpacing/>
              <w:jc w:val="center"/>
              <w:rPr>
                <w:b/>
                <w:color w:val="000000"/>
                <w:sz w:val="20"/>
                <w:szCs w:val="20"/>
              </w:rPr>
            </w:pPr>
            <w:r w:rsidRPr="00A30D85">
              <w:rPr>
                <w:b/>
                <w:color w:val="000000"/>
                <w:sz w:val="20"/>
                <w:szCs w:val="20"/>
              </w:rPr>
              <w:t>2006</w:t>
            </w:r>
          </w:p>
        </w:tc>
        <w:tc>
          <w:tcPr>
            <w:tcW w:w="1134" w:type="dxa"/>
            <w:tcBorders>
              <w:top w:val="nil"/>
              <w:left w:val="nil"/>
              <w:bottom w:val="single" w:sz="18" w:space="0" w:color="auto"/>
              <w:right w:val="single" w:sz="4" w:space="0" w:color="auto"/>
            </w:tcBorders>
            <w:shd w:val="clear" w:color="auto" w:fill="auto"/>
            <w:noWrap/>
            <w:vAlign w:val="center"/>
            <w:hideMark/>
          </w:tcPr>
          <w:p w:rsidR="008A19EF" w:rsidRPr="00A30D85" w:rsidRDefault="008A19EF" w:rsidP="003747F5">
            <w:pPr>
              <w:spacing w:line="240" w:lineRule="auto"/>
              <w:contextualSpacing/>
              <w:jc w:val="center"/>
              <w:rPr>
                <w:b/>
                <w:color w:val="000000"/>
                <w:sz w:val="20"/>
                <w:szCs w:val="20"/>
              </w:rPr>
            </w:pPr>
            <w:r w:rsidRPr="00A30D85">
              <w:rPr>
                <w:b/>
                <w:color w:val="000000"/>
                <w:sz w:val="20"/>
                <w:szCs w:val="20"/>
              </w:rPr>
              <w:t>2007</w:t>
            </w:r>
          </w:p>
        </w:tc>
        <w:tc>
          <w:tcPr>
            <w:tcW w:w="1134" w:type="dxa"/>
            <w:tcBorders>
              <w:top w:val="nil"/>
              <w:left w:val="nil"/>
              <w:bottom w:val="single" w:sz="18" w:space="0" w:color="auto"/>
              <w:right w:val="single" w:sz="18" w:space="0" w:color="auto"/>
            </w:tcBorders>
            <w:shd w:val="clear" w:color="auto" w:fill="auto"/>
            <w:noWrap/>
            <w:vAlign w:val="center"/>
            <w:hideMark/>
          </w:tcPr>
          <w:p w:rsidR="008A19EF" w:rsidRPr="00A30D85" w:rsidRDefault="008A19EF" w:rsidP="003747F5">
            <w:pPr>
              <w:spacing w:line="240" w:lineRule="auto"/>
              <w:contextualSpacing/>
              <w:jc w:val="center"/>
              <w:rPr>
                <w:b/>
                <w:color w:val="000000"/>
                <w:sz w:val="20"/>
                <w:szCs w:val="20"/>
              </w:rPr>
            </w:pPr>
            <w:r w:rsidRPr="00A30D85">
              <w:rPr>
                <w:b/>
                <w:color w:val="000000"/>
                <w:sz w:val="20"/>
                <w:szCs w:val="20"/>
              </w:rPr>
              <w:t>2008</w:t>
            </w:r>
          </w:p>
        </w:tc>
      </w:tr>
      <w:tr w:rsidR="008A19EF" w:rsidRPr="00344365" w:rsidTr="00A30D85">
        <w:trPr>
          <w:trHeight w:val="300"/>
          <w:jc w:val="center"/>
        </w:trPr>
        <w:tc>
          <w:tcPr>
            <w:tcW w:w="2940" w:type="dxa"/>
            <w:tcBorders>
              <w:top w:val="single" w:sz="18" w:space="0" w:color="auto"/>
              <w:left w:val="single" w:sz="18" w:space="0" w:color="auto"/>
              <w:bottom w:val="single" w:sz="18" w:space="0" w:color="auto"/>
              <w:right w:val="single" w:sz="4" w:space="0" w:color="auto"/>
            </w:tcBorders>
            <w:shd w:val="clear" w:color="auto" w:fill="FFFF00"/>
            <w:noWrap/>
            <w:vAlign w:val="center"/>
            <w:hideMark/>
          </w:tcPr>
          <w:p w:rsidR="008A19EF" w:rsidRPr="00A30D85" w:rsidRDefault="008A19EF" w:rsidP="00A30D85">
            <w:pPr>
              <w:spacing w:line="240" w:lineRule="auto"/>
              <w:contextualSpacing/>
              <w:rPr>
                <w:color w:val="000000"/>
                <w:sz w:val="20"/>
                <w:szCs w:val="20"/>
              </w:rPr>
            </w:pPr>
            <w:r w:rsidRPr="00A30D85">
              <w:rPr>
                <w:color w:val="000000"/>
                <w:sz w:val="20"/>
                <w:szCs w:val="20"/>
              </w:rPr>
              <w:t>Bratislavský kraj</w:t>
            </w:r>
          </w:p>
        </w:tc>
        <w:tc>
          <w:tcPr>
            <w:tcW w:w="1186" w:type="dxa"/>
            <w:tcBorders>
              <w:top w:val="single" w:sz="18" w:space="0" w:color="auto"/>
              <w:left w:val="nil"/>
              <w:bottom w:val="single" w:sz="18" w:space="0" w:color="auto"/>
              <w:right w:val="single" w:sz="4" w:space="0" w:color="auto"/>
            </w:tcBorders>
            <w:shd w:val="clear" w:color="auto" w:fill="FFFF00"/>
            <w:noWrap/>
            <w:vAlign w:val="center"/>
            <w:hideMark/>
          </w:tcPr>
          <w:p w:rsidR="008A19EF" w:rsidRPr="00A30D85" w:rsidRDefault="008A19EF" w:rsidP="00A30D85">
            <w:pPr>
              <w:spacing w:line="240" w:lineRule="auto"/>
              <w:contextualSpacing/>
              <w:jc w:val="right"/>
              <w:rPr>
                <w:color w:val="000000"/>
                <w:sz w:val="20"/>
                <w:szCs w:val="20"/>
              </w:rPr>
            </w:pPr>
            <w:r w:rsidRPr="00A30D85">
              <w:rPr>
                <w:color w:val="000000"/>
                <w:sz w:val="20"/>
                <w:szCs w:val="20"/>
              </w:rPr>
              <w:t>56746</w:t>
            </w:r>
          </w:p>
        </w:tc>
        <w:tc>
          <w:tcPr>
            <w:tcW w:w="1134" w:type="dxa"/>
            <w:tcBorders>
              <w:top w:val="single" w:sz="18" w:space="0" w:color="auto"/>
              <w:left w:val="nil"/>
              <w:bottom w:val="single" w:sz="18" w:space="0" w:color="auto"/>
              <w:right w:val="single" w:sz="4" w:space="0" w:color="auto"/>
            </w:tcBorders>
            <w:shd w:val="clear" w:color="auto" w:fill="FFFF00"/>
            <w:noWrap/>
            <w:vAlign w:val="center"/>
            <w:hideMark/>
          </w:tcPr>
          <w:p w:rsidR="008A19EF" w:rsidRPr="00A30D85" w:rsidRDefault="008A19EF" w:rsidP="00A30D85">
            <w:pPr>
              <w:spacing w:line="240" w:lineRule="auto"/>
              <w:contextualSpacing/>
              <w:jc w:val="right"/>
              <w:rPr>
                <w:color w:val="000000"/>
                <w:sz w:val="20"/>
                <w:szCs w:val="20"/>
              </w:rPr>
            </w:pPr>
            <w:r w:rsidRPr="00A30D85">
              <w:rPr>
                <w:color w:val="000000"/>
                <w:sz w:val="20"/>
                <w:szCs w:val="20"/>
              </w:rPr>
              <w:t>56740</w:t>
            </w:r>
          </w:p>
        </w:tc>
        <w:tc>
          <w:tcPr>
            <w:tcW w:w="1276" w:type="dxa"/>
            <w:tcBorders>
              <w:top w:val="single" w:sz="18" w:space="0" w:color="auto"/>
              <w:left w:val="nil"/>
              <w:bottom w:val="single" w:sz="18" w:space="0" w:color="auto"/>
              <w:right w:val="single" w:sz="4" w:space="0" w:color="auto"/>
            </w:tcBorders>
            <w:shd w:val="clear" w:color="auto" w:fill="FFFF00"/>
            <w:noWrap/>
            <w:vAlign w:val="center"/>
            <w:hideMark/>
          </w:tcPr>
          <w:p w:rsidR="008A19EF" w:rsidRPr="00A30D85" w:rsidRDefault="008A19EF" w:rsidP="00A30D85">
            <w:pPr>
              <w:spacing w:line="240" w:lineRule="auto"/>
              <w:contextualSpacing/>
              <w:jc w:val="right"/>
              <w:rPr>
                <w:color w:val="000000"/>
                <w:sz w:val="20"/>
                <w:szCs w:val="20"/>
              </w:rPr>
            </w:pPr>
            <w:r w:rsidRPr="00A30D85">
              <w:rPr>
                <w:color w:val="000000"/>
                <w:sz w:val="20"/>
                <w:szCs w:val="20"/>
              </w:rPr>
              <w:t>59318</w:t>
            </w:r>
          </w:p>
        </w:tc>
        <w:tc>
          <w:tcPr>
            <w:tcW w:w="1134" w:type="dxa"/>
            <w:tcBorders>
              <w:top w:val="single" w:sz="18" w:space="0" w:color="auto"/>
              <w:left w:val="nil"/>
              <w:bottom w:val="single" w:sz="18" w:space="0" w:color="auto"/>
              <w:right w:val="single" w:sz="4" w:space="0" w:color="auto"/>
            </w:tcBorders>
            <w:shd w:val="clear" w:color="auto" w:fill="FFFF00"/>
            <w:noWrap/>
            <w:vAlign w:val="center"/>
            <w:hideMark/>
          </w:tcPr>
          <w:p w:rsidR="008A19EF" w:rsidRPr="00A30D85" w:rsidRDefault="008A19EF" w:rsidP="00A30D85">
            <w:pPr>
              <w:spacing w:line="240" w:lineRule="auto"/>
              <w:contextualSpacing/>
              <w:jc w:val="right"/>
              <w:rPr>
                <w:color w:val="000000"/>
                <w:sz w:val="20"/>
                <w:szCs w:val="20"/>
              </w:rPr>
            </w:pPr>
            <w:r w:rsidRPr="00A30D85">
              <w:rPr>
                <w:color w:val="000000"/>
                <w:sz w:val="20"/>
                <w:szCs w:val="20"/>
              </w:rPr>
              <w:t>59267</w:t>
            </w:r>
          </w:p>
        </w:tc>
        <w:tc>
          <w:tcPr>
            <w:tcW w:w="1134" w:type="dxa"/>
            <w:tcBorders>
              <w:top w:val="single" w:sz="18" w:space="0" w:color="auto"/>
              <w:left w:val="nil"/>
              <w:bottom w:val="single" w:sz="18" w:space="0" w:color="auto"/>
              <w:right w:val="single" w:sz="18" w:space="0" w:color="auto"/>
            </w:tcBorders>
            <w:shd w:val="clear" w:color="auto" w:fill="FFFF00"/>
            <w:noWrap/>
            <w:vAlign w:val="center"/>
            <w:hideMark/>
          </w:tcPr>
          <w:p w:rsidR="008A19EF" w:rsidRPr="00A30D85" w:rsidRDefault="008A19EF" w:rsidP="00A30D85">
            <w:pPr>
              <w:spacing w:line="240" w:lineRule="auto"/>
              <w:contextualSpacing/>
              <w:jc w:val="right"/>
              <w:rPr>
                <w:color w:val="000000"/>
                <w:sz w:val="20"/>
                <w:szCs w:val="20"/>
              </w:rPr>
            </w:pPr>
            <w:r w:rsidRPr="00A30D85">
              <w:rPr>
                <w:color w:val="000000"/>
                <w:sz w:val="20"/>
                <w:szCs w:val="20"/>
              </w:rPr>
              <w:t>59644</w:t>
            </w:r>
          </w:p>
        </w:tc>
      </w:tr>
      <w:tr w:rsidR="008A19EF" w:rsidRPr="00344365" w:rsidTr="00A30D85">
        <w:trPr>
          <w:trHeight w:val="300"/>
          <w:jc w:val="center"/>
        </w:trPr>
        <w:tc>
          <w:tcPr>
            <w:tcW w:w="2940" w:type="dxa"/>
            <w:tcBorders>
              <w:top w:val="single" w:sz="18" w:space="0" w:color="auto"/>
              <w:left w:val="single" w:sz="18" w:space="0" w:color="auto"/>
              <w:bottom w:val="single" w:sz="18" w:space="0" w:color="auto"/>
              <w:right w:val="single" w:sz="4" w:space="0" w:color="auto"/>
            </w:tcBorders>
            <w:shd w:val="clear" w:color="auto" w:fill="FFFF00"/>
            <w:noWrap/>
            <w:vAlign w:val="center"/>
            <w:hideMark/>
          </w:tcPr>
          <w:p w:rsidR="008A19EF" w:rsidRPr="00A30D85" w:rsidRDefault="008A19EF" w:rsidP="00A30D85">
            <w:pPr>
              <w:spacing w:line="240" w:lineRule="auto"/>
              <w:contextualSpacing/>
              <w:rPr>
                <w:color w:val="000000"/>
                <w:sz w:val="20"/>
                <w:szCs w:val="20"/>
              </w:rPr>
            </w:pPr>
            <w:r w:rsidRPr="00A30D85">
              <w:rPr>
                <w:color w:val="000000"/>
                <w:sz w:val="20"/>
                <w:szCs w:val="20"/>
              </w:rPr>
              <w:t>Západné Slovensko</w:t>
            </w:r>
          </w:p>
        </w:tc>
        <w:tc>
          <w:tcPr>
            <w:tcW w:w="1186" w:type="dxa"/>
            <w:tcBorders>
              <w:top w:val="single" w:sz="18" w:space="0" w:color="auto"/>
              <w:left w:val="nil"/>
              <w:bottom w:val="single" w:sz="18" w:space="0" w:color="auto"/>
              <w:right w:val="single" w:sz="4" w:space="0" w:color="auto"/>
            </w:tcBorders>
            <w:shd w:val="clear" w:color="auto" w:fill="FFFF00"/>
            <w:noWrap/>
            <w:vAlign w:val="center"/>
            <w:hideMark/>
          </w:tcPr>
          <w:p w:rsidR="008A19EF" w:rsidRPr="00A30D85" w:rsidRDefault="008A19EF" w:rsidP="00A30D85">
            <w:pPr>
              <w:spacing w:line="240" w:lineRule="auto"/>
              <w:contextualSpacing/>
              <w:jc w:val="right"/>
              <w:rPr>
                <w:color w:val="000000"/>
                <w:sz w:val="20"/>
                <w:szCs w:val="20"/>
              </w:rPr>
            </w:pPr>
            <w:r w:rsidRPr="00A30D85">
              <w:rPr>
                <w:color w:val="000000"/>
                <w:sz w:val="20"/>
                <w:szCs w:val="20"/>
              </w:rPr>
              <w:t>115764</w:t>
            </w:r>
          </w:p>
        </w:tc>
        <w:tc>
          <w:tcPr>
            <w:tcW w:w="1134" w:type="dxa"/>
            <w:tcBorders>
              <w:top w:val="single" w:sz="18" w:space="0" w:color="auto"/>
              <w:left w:val="nil"/>
              <w:bottom w:val="single" w:sz="18" w:space="0" w:color="auto"/>
              <w:right w:val="single" w:sz="4" w:space="0" w:color="auto"/>
            </w:tcBorders>
            <w:shd w:val="clear" w:color="auto" w:fill="FFFF00"/>
            <w:noWrap/>
            <w:vAlign w:val="center"/>
            <w:hideMark/>
          </w:tcPr>
          <w:p w:rsidR="008A19EF" w:rsidRPr="00A30D85" w:rsidRDefault="008A19EF" w:rsidP="00A30D85">
            <w:pPr>
              <w:spacing w:line="240" w:lineRule="auto"/>
              <w:contextualSpacing/>
              <w:jc w:val="right"/>
              <w:rPr>
                <w:color w:val="000000"/>
                <w:sz w:val="20"/>
                <w:szCs w:val="20"/>
              </w:rPr>
            </w:pPr>
            <w:r w:rsidRPr="00A30D85">
              <w:rPr>
                <w:color w:val="000000"/>
                <w:sz w:val="20"/>
                <w:szCs w:val="20"/>
              </w:rPr>
              <w:t>118902</w:t>
            </w:r>
          </w:p>
        </w:tc>
        <w:tc>
          <w:tcPr>
            <w:tcW w:w="1276" w:type="dxa"/>
            <w:tcBorders>
              <w:top w:val="single" w:sz="18" w:space="0" w:color="auto"/>
              <w:left w:val="nil"/>
              <w:bottom w:val="single" w:sz="18" w:space="0" w:color="auto"/>
              <w:right w:val="single" w:sz="4" w:space="0" w:color="auto"/>
            </w:tcBorders>
            <w:shd w:val="clear" w:color="auto" w:fill="FFFF00"/>
            <w:noWrap/>
            <w:vAlign w:val="center"/>
            <w:hideMark/>
          </w:tcPr>
          <w:p w:rsidR="008A19EF" w:rsidRPr="00A30D85" w:rsidRDefault="008A19EF" w:rsidP="00A30D85">
            <w:pPr>
              <w:spacing w:line="240" w:lineRule="auto"/>
              <w:contextualSpacing/>
              <w:jc w:val="right"/>
              <w:rPr>
                <w:color w:val="000000"/>
                <w:sz w:val="20"/>
                <w:szCs w:val="20"/>
              </w:rPr>
            </w:pPr>
            <w:r w:rsidRPr="00A30D85">
              <w:rPr>
                <w:color w:val="000000"/>
                <w:sz w:val="20"/>
                <w:szCs w:val="20"/>
              </w:rPr>
              <w:t>127270</w:t>
            </w:r>
          </w:p>
        </w:tc>
        <w:tc>
          <w:tcPr>
            <w:tcW w:w="1134" w:type="dxa"/>
            <w:tcBorders>
              <w:top w:val="single" w:sz="18" w:space="0" w:color="auto"/>
              <w:left w:val="nil"/>
              <w:bottom w:val="single" w:sz="18" w:space="0" w:color="auto"/>
              <w:right w:val="single" w:sz="4" w:space="0" w:color="auto"/>
            </w:tcBorders>
            <w:shd w:val="clear" w:color="auto" w:fill="FFFF00"/>
            <w:noWrap/>
            <w:vAlign w:val="center"/>
            <w:hideMark/>
          </w:tcPr>
          <w:p w:rsidR="008A19EF" w:rsidRPr="00A30D85" w:rsidRDefault="008A19EF" w:rsidP="00A30D85">
            <w:pPr>
              <w:spacing w:line="240" w:lineRule="auto"/>
              <w:contextualSpacing/>
              <w:jc w:val="right"/>
              <w:rPr>
                <w:color w:val="000000"/>
                <w:sz w:val="20"/>
                <w:szCs w:val="20"/>
              </w:rPr>
            </w:pPr>
            <w:r w:rsidRPr="00A30D85">
              <w:rPr>
                <w:color w:val="000000"/>
                <w:sz w:val="20"/>
                <w:szCs w:val="20"/>
              </w:rPr>
              <w:t>129524</w:t>
            </w:r>
          </w:p>
        </w:tc>
        <w:tc>
          <w:tcPr>
            <w:tcW w:w="1134" w:type="dxa"/>
            <w:tcBorders>
              <w:top w:val="single" w:sz="18" w:space="0" w:color="auto"/>
              <w:left w:val="nil"/>
              <w:bottom w:val="single" w:sz="18" w:space="0" w:color="auto"/>
              <w:right w:val="single" w:sz="18" w:space="0" w:color="auto"/>
            </w:tcBorders>
            <w:shd w:val="clear" w:color="auto" w:fill="FFFF00"/>
            <w:noWrap/>
            <w:vAlign w:val="center"/>
            <w:hideMark/>
          </w:tcPr>
          <w:p w:rsidR="008A19EF" w:rsidRPr="00A30D85" w:rsidRDefault="008A19EF" w:rsidP="00A30D85">
            <w:pPr>
              <w:spacing w:line="240" w:lineRule="auto"/>
              <w:contextualSpacing/>
              <w:jc w:val="right"/>
              <w:rPr>
                <w:color w:val="000000"/>
                <w:sz w:val="20"/>
                <w:szCs w:val="20"/>
              </w:rPr>
            </w:pPr>
            <w:r w:rsidRPr="00A30D85">
              <w:rPr>
                <w:color w:val="000000"/>
                <w:sz w:val="20"/>
                <w:szCs w:val="20"/>
              </w:rPr>
              <w:t>136436</w:t>
            </w:r>
          </w:p>
        </w:tc>
      </w:tr>
      <w:tr w:rsidR="008A19EF" w:rsidRPr="00344365" w:rsidTr="00A30D85">
        <w:trPr>
          <w:trHeight w:val="300"/>
          <w:jc w:val="center"/>
        </w:trPr>
        <w:tc>
          <w:tcPr>
            <w:tcW w:w="2940" w:type="dxa"/>
            <w:tcBorders>
              <w:top w:val="single" w:sz="18" w:space="0" w:color="auto"/>
              <w:left w:val="single" w:sz="18" w:space="0" w:color="auto"/>
              <w:bottom w:val="single" w:sz="4" w:space="0" w:color="auto"/>
              <w:right w:val="single" w:sz="4" w:space="0" w:color="auto"/>
            </w:tcBorders>
            <w:shd w:val="clear" w:color="auto" w:fill="auto"/>
            <w:noWrap/>
            <w:vAlign w:val="center"/>
            <w:hideMark/>
          </w:tcPr>
          <w:p w:rsidR="008A19EF" w:rsidRPr="00A30D85" w:rsidRDefault="008A19EF" w:rsidP="00A30D85">
            <w:pPr>
              <w:spacing w:line="240" w:lineRule="auto"/>
              <w:contextualSpacing/>
              <w:rPr>
                <w:color w:val="000000"/>
                <w:sz w:val="20"/>
                <w:szCs w:val="20"/>
              </w:rPr>
            </w:pPr>
            <w:r w:rsidRPr="00A30D85">
              <w:rPr>
                <w:color w:val="000000"/>
                <w:sz w:val="20"/>
                <w:szCs w:val="20"/>
              </w:rPr>
              <w:t>Trnavský kraj</w:t>
            </w:r>
          </w:p>
        </w:tc>
        <w:tc>
          <w:tcPr>
            <w:tcW w:w="1186" w:type="dxa"/>
            <w:tcBorders>
              <w:top w:val="single" w:sz="18" w:space="0" w:color="auto"/>
              <w:left w:val="nil"/>
              <w:bottom w:val="single" w:sz="4" w:space="0" w:color="auto"/>
              <w:right w:val="single" w:sz="4" w:space="0" w:color="auto"/>
            </w:tcBorders>
            <w:shd w:val="clear" w:color="auto" w:fill="auto"/>
            <w:noWrap/>
            <w:vAlign w:val="center"/>
            <w:hideMark/>
          </w:tcPr>
          <w:p w:rsidR="008A19EF" w:rsidRPr="00A30D85" w:rsidRDefault="008A19EF" w:rsidP="00A30D85">
            <w:pPr>
              <w:spacing w:line="240" w:lineRule="auto"/>
              <w:contextualSpacing/>
              <w:jc w:val="right"/>
              <w:rPr>
                <w:color w:val="000000"/>
                <w:sz w:val="20"/>
                <w:szCs w:val="20"/>
              </w:rPr>
            </w:pPr>
            <w:r w:rsidRPr="00A30D85">
              <w:rPr>
                <w:color w:val="000000"/>
                <w:sz w:val="20"/>
                <w:szCs w:val="20"/>
              </w:rPr>
              <w:t>36497</w:t>
            </w:r>
          </w:p>
        </w:tc>
        <w:tc>
          <w:tcPr>
            <w:tcW w:w="1134" w:type="dxa"/>
            <w:tcBorders>
              <w:top w:val="single" w:sz="18" w:space="0" w:color="auto"/>
              <w:left w:val="nil"/>
              <w:bottom w:val="single" w:sz="4" w:space="0" w:color="auto"/>
              <w:right w:val="single" w:sz="4" w:space="0" w:color="auto"/>
            </w:tcBorders>
            <w:shd w:val="clear" w:color="auto" w:fill="auto"/>
            <w:noWrap/>
            <w:vAlign w:val="center"/>
            <w:hideMark/>
          </w:tcPr>
          <w:p w:rsidR="008A19EF" w:rsidRPr="00A30D85" w:rsidRDefault="008A19EF" w:rsidP="00A30D85">
            <w:pPr>
              <w:spacing w:line="240" w:lineRule="auto"/>
              <w:contextualSpacing/>
              <w:jc w:val="right"/>
              <w:rPr>
                <w:color w:val="000000"/>
                <w:sz w:val="20"/>
                <w:szCs w:val="20"/>
              </w:rPr>
            </w:pPr>
            <w:r w:rsidRPr="00A30D85">
              <w:rPr>
                <w:color w:val="000000"/>
                <w:sz w:val="20"/>
                <w:szCs w:val="20"/>
              </w:rPr>
              <w:t>37738</w:t>
            </w:r>
          </w:p>
        </w:tc>
        <w:tc>
          <w:tcPr>
            <w:tcW w:w="1276" w:type="dxa"/>
            <w:tcBorders>
              <w:top w:val="single" w:sz="18" w:space="0" w:color="auto"/>
              <w:left w:val="nil"/>
              <w:bottom w:val="single" w:sz="4" w:space="0" w:color="auto"/>
              <w:right w:val="single" w:sz="4" w:space="0" w:color="auto"/>
            </w:tcBorders>
            <w:shd w:val="clear" w:color="auto" w:fill="auto"/>
            <w:noWrap/>
            <w:vAlign w:val="center"/>
            <w:hideMark/>
          </w:tcPr>
          <w:p w:rsidR="008A19EF" w:rsidRPr="00A30D85" w:rsidRDefault="008A19EF" w:rsidP="00A30D85">
            <w:pPr>
              <w:spacing w:line="240" w:lineRule="auto"/>
              <w:contextualSpacing/>
              <w:jc w:val="right"/>
              <w:rPr>
                <w:color w:val="000000"/>
                <w:sz w:val="20"/>
                <w:szCs w:val="20"/>
              </w:rPr>
            </w:pPr>
            <w:r w:rsidRPr="00A30D85">
              <w:rPr>
                <w:color w:val="000000"/>
                <w:sz w:val="20"/>
                <w:szCs w:val="20"/>
              </w:rPr>
              <w:t>40210</w:t>
            </w:r>
          </w:p>
        </w:tc>
        <w:tc>
          <w:tcPr>
            <w:tcW w:w="1134" w:type="dxa"/>
            <w:tcBorders>
              <w:top w:val="single" w:sz="18" w:space="0" w:color="auto"/>
              <w:left w:val="nil"/>
              <w:bottom w:val="single" w:sz="4" w:space="0" w:color="auto"/>
              <w:right w:val="single" w:sz="4" w:space="0" w:color="auto"/>
            </w:tcBorders>
            <w:shd w:val="clear" w:color="auto" w:fill="auto"/>
            <w:noWrap/>
            <w:vAlign w:val="center"/>
            <w:hideMark/>
          </w:tcPr>
          <w:p w:rsidR="008A19EF" w:rsidRPr="00A30D85" w:rsidRDefault="008A19EF" w:rsidP="00A30D85">
            <w:pPr>
              <w:spacing w:line="240" w:lineRule="auto"/>
              <w:contextualSpacing/>
              <w:jc w:val="right"/>
              <w:rPr>
                <w:color w:val="000000"/>
                <w:sz w:val="20"/>
                <w:szCs w:val="20"/>
              </w:rPr>
            </w:pPr>
            <w:r w:rsidRPr="00A30D85">
              <w:rPr>
                <w:color w:val="000000"/>
                <w:sz w:val="20"/>
                <w:szCs w:val="20"/>
              </w:rPr>
              <w:t>41190</w:t>
            </w:r>
          </w:p>
        </w:tc>
        <w:tc>
          <w:tcPr>
            <w:tcW w:w="1134" w:type="dxa"/>
            <w:tcBorders>
              <w:top w:val="single" w:sz="18" w:space="0" w:color="auto"/>
              <w:left w:val="nil"/>
              <w:bottom w:val="single" w:sz="4" w:space="0" w:color="auto"/>
              <w:right w:val="single" w:sz="18" w:space="0" w:color="auto"/>
            </w:tcBorders>
            <w:shd w:val="clear" w:color="auto" w:fill="auto"/>
            <w:noWrap/>
            <w:vAlign w:val="center"/>
            <w:hideMark/>
          </w:tcPr>
          <w:p w:rsidR="008A19EF" w:rsidRPr="00A30D85" w:rsidRDefault="008A19EF" w:rsidP="00A30D85">
            <w:pPr>
              <w:spacing w:line="240" w:lineRule="auto"/>
              <w:contextualSpacing/>
              <w:jc w:val="right"/>
              <w:rPr>
                <w:color w:val="000000"/>
                <w:sz w:val="20"/>
                <w:szCs w:val="20"/>
              </w:rPr>
            </w:pPr>
            <w:r w:rsidRPr="00A30D85">
              <w:rPr>
                <w:color w:val="000000"/>
                <w:sz w:val="20"/>
                <w:szCs w:val="20"/>
              </w:rPr>
              <w:t>43058</w:t>
            </w:r>
          </w:p>
        </w:tc>
      </w:tr>
      <w:tr w:rsidR="008A19EF" w:rsidRPr="00344365" w:rsidTr="00A30D85">
        <w:trPr>
          <w:trHeight w:val="300"/>
          <w:jc w:val="center"/>
        </w:trPr>
        <w:tc>
          <w:tcPr>
            <w:tcW w:w="294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rsidR="008A19EF" w:rsidRPr="00A30D85" w:rsidRDefault="008A19EF" w:rsidP="00A30D85">
            <w:pPr>
              <w:spacing w:line="240" w:lineRule="auto"/>
              <w:contextualSpacing/>
              <w:rPr>
                <w:color w:val="000000"/>
                <w:sz w:val="20"/>
                <w:szCs w:val="20"/>
              </w:rPr>
            </w:pPr>
            <w:r w:rsidRPr="00A30D85">
              <w:rPr>
                <w:color w:val="000000"/>
                <w:sz w:val="20"/>
                <w:szCs w:val="20"/>
              </w:rPr>
              <w:t>Trenčiansky kraj</w:t>
            </w:r>
          </w:p>
        </w:tc>
        <w:tc>
          <w:tcPr>
            <w:tcW w:w="1186" w:type="dxa"/>
            <w:tcBorders>
              <w:top w:val="single" w:sz="4" w:space="0" w:color="auto"/>
              <w:left w:val="nil"/>
              <w:bottom w:val="single" w:sz="4" w:space="0" w:color="auto"/>
              <w:right w:val="single" w:sz="4" w:space="0" w:color="auto"/>
            </w:tcBorders>
            <w:shd w:val="clear" w:color="auto" w:fill="auto"/>
            <w:noWrap/>
            <w:vAlign w:val="center"/>
            <w:hideMark/>
          </w:tcPr>
          <w:p w:rsidR="008A19EF" w:rsidRPr="00A30D85" w:rsidRDefault="008A19EF" w:rsidP="00A30D85">
            <w:pPr>
              <w:spacing w:line="240" w:lineRule="auto"/>
              <w:contextualSpacing/>
              <w:jc w:val="right"/>
              <w:rPr>
                <w:color w:val="000000"/>
                <w:sz w:val="20"/>
                <w:szCs w:val="20"/>
              </w:rPr>
            </w:pPr>
            <w:r w:rsidRPr="00A30D85">
              <w:rPr>
                <w:color w:val="000000"/>
                <w:sz w:val="20"/>
                <w:szCs w:val="20"/>
              </w:rPr>
              <w:t>38262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A19EF" w:rsidRPr="00A30D85" w:rsidRDefault="008A19EF" w:rsidP="00A30D85">
            <w:pPr>
              <w:spacing w:line="240" w:lineRule="auto"/>
              <w:contextualSpacing/>
              <w:jc w:val="right"/>
              <w:rPr>
                <w:color w:val="000000"/>
                <w:sz w:val="20"/>
                <w:szCs w:val="20"/>
              </w:rPr>
            </w:pPr>
            <w:r w:rsidRPr="00A30D85">
              <w:rPr>
                <w:color w:val="000000"/>
                <w:sz w:val="20"/>
                <w:szCs w:val="20"/>
              </w:rPr>
              <w:t>38696</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8A19EF" w:rsidRPr="00A30D85" w:rsidRDefault="008A19EF" w:rsidP="00A30D85">
            <w:pPr>
              <w:spacing w:line="240" w:lineRule="auto"/>
              <w:contextualSpacing/>
              <w:jc w:val="right"/>
              <w:rPr>
                <w:color w:val="000000"/>
                <w:sz w:val="20"/>
                <w:szCs w:val="20"/>
              </w:rPr>
            </w:pPr>
            <w:r w:rsidRPr="00A30D85">
              <w:rPr>
                <w:color w:val="000000"/>
                <w:sz w:val="20"/>
                <w:szCs w:val="20"/>
              </w:rPr>
              <w:t>42127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A19EF" w:rsidRPr="00A30D85" w:rsidRDefault="008A19EF" w:rsidP="00A30D85">
            <w:pPr>
              <w:spacing w:line="240" w:lineRule="auto"/>
              <w:contextualSpacing/>
              <w:jc w:val="right"/>
              <w:rPr>
                <w:color w:val="000000"/>
                <w:sz w:val="20"/>
                <w:szCs w:val="20"/>
              </w:rPr>
            </w:pPr>
            <w:r w:rsidRPr="00A30D85">
              <w:rPr>
                <w:color w:val="000000"/>
                <w:sz w:val="20"/>
                <w:szCs w:val="20"/>
              </w:rPr>
              <w:t>42197</w:t>
            </w:r>
          </w:p>
        </w:tc>
        <w:tc>
          <w:tcPr>
            <w:tcW w:w="1134" w:type="dxa"/>
            <w:tcBorders>
              <w:top w:val="single" w:sz="4" w:space="0" w:color="auto"/>
              <w:left w:val="nil"/>
              <w:bottom w:val="single" w:sz="4" w:space="0" w:color="auto"/>
              <w:right w:val="single" w:sz="18" w:space="0" w:color="auto"/>
            </w:tcBorders>
            <w:shd w:val="clear" w:color="auto" w:fill="auto"/>
            <w:noWrap/>
            <w:vAlign w:val="center"/>
            <w:hideMark/>
          </w:tcPr>
          <w:p w:rsidR="008A19EF" w:rsidRPr="00A30D85" w:rsidRDefault="008A19EF" w:rsidP="00A30D85">
            <w:pPr>
              <w:spacing w:line="240" w:lineRule="auto"/>
              <w:contextualSpacing/>
              <w:jc w:val="right"/>
              <w:rPr>
                <w:color w:val="000000"/>
                <w:sz w:val="20"/>
                <w:szCs w:val="20"/>
              </w:rPr>
            </w:pPr>
            <w:r w:rsidRPr="00A30D85">
              <w:rPr>
                <w:color w:val="000000"/>
                <w:sz w:val="20"/>
                <w:szCs w:val="20"/>
              </w:rPr>
              <w:t>44429</w:t>
            </w:r>
          </w:p>
        </w:tc>
      </w:tr>
      <w:tr w:rsidR="008A19EF" w:rsidRPr="00344365" w:rsidTr="00A30D85">
        <w:trPr>
          <w:trHeight w:val="300"/>
          <w:jc w:val="center"/>
        </w:trPr>
        <w:tc>
          <w:tcPr>
            <w:tcW w:w="2940" w:type="dxa"/>
            <w:tcBorders>
              <w:top w:val="single" w:sz="4" w:space="0" w:color="auto"/>
              <w:left w:val="single" w:sz="18" w:space="0" w:color="auto"/>
              <w:bottom w:val="single" w:sz="18" w:space="0" w:color="auto"/>
              <w:right w:val="single" w:sz="4" w:space="0" w:color="auto"/>
            </w:tcBorders>
            <w:shd w:val="clear" w:color="auto" w:fill="auto"/>
            <w:noWrap/>
            <w:vAlign w:val="center"/>
            <w:hideMark/>
          </w:tcPr>
          <w:p w:rsidR="008A19EF" w:rsidRPr="00A30D85" w:rsidRDefault="008A19EF" w:rsidP="00A30D85">
            <w:pPr>
              <w:spacing w:line="240" w:lineRule="auto"/>
              <w:contextualSpacing/>
              <w:rPr>
                <w:color w:val="000000"/>
                <w:sz w:val="20"/>
                <w:szCs w:val="20"/>
              </w:rPr>
            </w:pPr>
            <w:r w:rsidRPr="00A30D85">
              <w:rPr>
                <w:color w:val="000000"/>
                <w:sz w:val="20"/>
                <w:szCs w:val="20"/>
              </w:rPr>
              <w:t>Nitriansky kraj</w:t>
            </w:r>
          </w:p>
        </w:tc>
        <w:tc>
          <w:tcPr>
            <w:tcW w:w="1186" w:type="dxa"/>
            <w:tcBorders>
              <w:top w:val="single" w:sz="4" w:space="0" w:color="auto"/>
              <w:left w:val="nil"/>
              <w:bottom w:val="single" w:sz="18" w:space="0" w:color="auto"/>
              <w:right w:val="single" w:sz="4" w:space="0" w:color="auto"/>
            </w:tcBorders>
            <w:shd w:val="clear" w:color="auto" w:fill="auto"/>
            <w:noWrap/>
            <w:vAlign w:val="center"/>
            <w:hideMark/>
          </w:tcPr>
          <w:p w:rsidR="008A19EF" w:rsidRPr="00A30D85" w:rsidRDefault="008A19EF" w:rsidP="00A30D85">
            <w:pPr>
              <w:spacing w:line="240" w:lineRule="auto"/>
              <w:contextualSpacing/>
              <w:jc w:val="right"/>
              <w:rPr>
                <w:color w:val="000000"/>
                <w:sz w:val="20"/>
                <w:szCs w:val="20"/>
              </w:rPr>
            </w:pPr>
            <w:r w:rsidRPr="00A30D85">
              <w:rPr>
                <w:color w:val="000000"/>
                <w:sz w:val="20"/>
                <w:szCs w:val="20"/>
              </w:rPr>
              <w:t>41005</w:t>
            </w:r>
          </w:p>
        </w:tc>
        <w:tc>
          <w:tcPr>
            <w:tcW w:w="1134" w:type="dxa"/>
            <w:tcBorders>
              <w:top w:val="single" w:sz="4" w:space="0" w:color="auto"/>
              <w:left w:val="nil"/>
              <w:bottom w:val="single" w:sz="18" w:space="0" w:color="auto"/>
              <w:right w:val="single" w:sz="4" w:space="0" w:color="auto"/>
            </w:tcBorders>
            <w:shd w:val="clear" w:color="auto" w:fill="auto"/>
            <w:noWrap/>
            <w:vAlign w:val="center"/>
            <w:hideMark/>
          </w:tcPr>
          <w:p w:rsidR="008A19EF" w:rsidRPr="00A30D85" w:rsidRDefault="008A19EF" w:rsidP="00A30D85">
            <w:pPr>
              <w:spacing w:line="240" w:lineRule="auto"/>
              <w:contextualSpacing/>
              <w:jc w:val="right"/>
              <w:rPr>
                <w:color w:val="000000"/>
                <w:sz w:val="20"/>
                <w:szCs w:val="20"/>
              </w:rPr>
            </w:pPr>
            <w:r w:rsidRPr="00A30D85">
              <w:rPr>
                <w:color w:val="000000"/>
                <w:sz w:val="20"/>
                <w:szCs w:val="20"/>
              </w:rPr>
              <w:t>42468</w:t>
            </w:r>
          </w:p>
        </w:tc>
        <w:tc>
          <w:tcPr>
            <w:tcW w:w="1276" w:type="dxa"/>
            <w:tcBorders>
              <w:top w:val="single" w:sz="4" w:space="0" w:color="auto"/>
              <w:left w:val="nil"/>
              <w:bottom w:val="single" w:sz="18" w:space="0" w:color="auto"/>
              <w:right w:val="single" w:sz="4" w:space="0" w:color="auto"/>
            </w:tcBorders>
            <w:shd w:val="clear" w:color="auto" w:fill="auto"/>
            <w:noWrap/>
            <w:vAlign w:val="center"/>
            <w:hideMark/>
          </w:tcPr>
          <w:p w:rsidR="008A19EF" w:rsidRPr="00A30D85" w:rsidRDefault="008A19EF" w:rsidP="00A30D85">
            <w:pPr>
              <w:spacing w:line="240" w:lineRule="auto"/>
              <w:contextualSpacing/>
              <w:jc w:val="right"/>
              <w:rPr>
                <w:color w:val="000000"/>
                <w:sz w:val="20"/>
                <w:szCs w:val="20"/>
              </w:rPr>
            </w:pPr>
            <w:r w:rsidRPr="00A30D85">
              <w:rPr>
                <w:color w:val="000000"/>
                <w:sz w:val="20"/>
                <w:szCs w:val="20"/>
              </w:rPr>
              <w:t>44933</w:t>
            </w:r>
          </w:p>
        </w:tc>
        <w:tc>
          <w:tcPr>
            <w:tcW w:w="1134" w:type="dxa"/>
            <w:tcBorders>
              <w:top w:val="single" w:sz="4" w:space="0" w:color="auto"/>
              <w:left w:val="nil"/>
              <w:bottom w:val="single" w:sz="18" w:space="0" w:color="auto"/>
              <w:right w:val="single" w:sz="4" w:space="0" w:color="auto"/>
            </w:tcBorders>
            <w:shd w:val="clear" w:color="auto" w:fill="auto"/>
            <w:noWrap/>
            <w:vAlign w:val="center"/>
            <w:hideMark/>
          </w:tcPr>
          <w:p w:rsidR="008A19EF" w:rsidRPr="00A30D85" w:rsidRDefault="008A19EF" w:rsidP="00A30D85">
            <w:pPr>
              <w:spacing w:line="240" w:lineRule="auto"/>
              <w:contextualSpacing/>
              <w:jc w:val="right"/>
              <w:rPr>
                <w:color w:val="000000"/>
                <w:sz w:val="20"/>
                <w:szCs w:val="20"/>
              </w:rPr>
            </w:pPr>
            <w:r w:rsidRPr="00A30D85">
              <w:rPr>
                <w:color w:val="000000"/>
                <w:sz w:val="20"/>
                <w:szCs w:val="20"/>
              </w:rPr>
              <w:t>46137</w:t>
            </w:r>
          </w:p>
        </w:tc>
        <w:tc>
          <w:tcPr>
            <w:tcW w:w="1134" w:type="dxa"/>
            <w:tcBorders>
              <w:top w:val="single" w:sz="4" w:space="0" w:color="auto"/>
              <w:left w:val="nil"/>
              <w:bottom w:val="single" w:sz="18" w:space="0" w:color="auto"/>
              <w:right w:val="single" w:sz="18" w:space="0" w:color="auto"/>
            </w:tcBorders>
            <w:shd w:val="clear" w:color="auto" w:fill="auto"/>
            <w:noWrap/>
            <w:vAlign w:val="center"/>
            <w:hideMark/>
          </w:tcPr>
          <w:p w:rsidR="008A19EF" w:rsidRPr="00A30D85" w:rsidRDefault="008A19EF" w:rsidP="00A30D85">
            <w:pPr>
              <w:spacing w:line="240" w:lineRule="auto"/>
              <w:contextualSpacing/>
              <w:jc w:val="right"/>
              <w:rPr>
                <w:color w:val="000000"/>
                <w:sz w:val="20"/>
                <w:szCs w:val="20"/>
              </w:rPr>
            </w:pPr>
            <w:r w:rsidRPr="00A30D85">
              <w:rPr>
                <w:color w:val="000000"/>
                <w:sz w:val="20"/>
                <w:szCs w:val="20"/>
              </w:rPr>
              <w:t>48949</w:t>
            </w:r>
          </w:p>
        </w:tc>
      </w:tr>
      <w:tr w:rsidR="008A19EF" w:rsidRPr="00344365" w:rsidTr="00A30D85">
        <w:trPr>
          <w:trHeight w:val="300"/>
          <w:jc w:val="center"/>
        </w:trPr>
        <w:tc>
          <w:tcPr>
            <w:tcW w:w="2940" w:type="dxa"/>
            <w:tcBorders>
              <w:top w:val="single" w:sz="18" w:space="0" w:color="auto"/>
              <w:left w:val="single" w:sz="18" w:space="0" w:color="auto"/>
              <w:bottom w:val="single" w:sz="18" w:space="0" w:color="auto"/>
              <w:right w:val="single" w:sz="4" w:space="0" w:color="auto"/>
            </w:tcBorders>
            <w:shd w:val="clear" w:color="auto" w:fill="FFFF00"/>
            <w:noWrap/>
            <w:vAlign w:val="center"/>
            <w:hideMark/>
          </w:tcPr>
          <w:p w:rsidR="008A19EF" w:rsidRPr="00A30D85" w:rsidRDefault="008A19EF" w:rsidP="00A30D85">
            <w:pPr>
              <w:spacing w:line="240" w:lineRule="auto"/>
              <w:contextualSpacing/>
              <w:rPr>
                <w:color w:val="000000"/>
                <w:sz w:val="20"/>
                <w:szCs w:val="20"/>
              </w:rPr>
            </w:pPr>
            <w:r w:rsidRPr="00A30D85">
              <w:rPr>
                <w:color w:val="000000"/>
                <w:sz w:val="20"/>
                <w:szCs w:val="20"/>
              </w:rPr>
              <w:t>Stredné Slovensko</w:t>
            </w:r>
          </w:p>
        </w:tc>
        <w:tc>
          <w:tcPr>
            <w:tcW w:w="1186" w:type="dxa"/>
            <w:tcBorders>
              <w:top w:val="single" w:sz="18" w:space="0" w:color="auto"/>
              <w:left w:val="nil"/>
              <w:bottom w:val="single" w:sz="18" w:space="0" w:color="auto"/>
              <w:right w:val="single" w:sz="4" w:space="0" w:color="auto"/>
            </w:tcBorders>
            <w:shd w:val="clear" w:color="auto" w:fill="FFFF00"/>
            <w:noWrap/>
            <w:vAlign w:val="center"/>
            <w:hideMark/>
          </w:tcPr>
          <w:p w:rsidR="008A19EF" w:rsidRPr="00A30D85" w:rsidRDefault="008A19EF" w:rsidP="00A30D85">
            <w:pPr>
              <w:spacing w:line="240" w:lineRule="auto"/>
              <w:contextualSpacing/>
              <w:jc w:val="right"/>
              <w:rPr>
                <w:color w:val="000000"/>
                <w:sz w:val="20"/>
                <w:szCs w:val="20"/>
              </w:rPr>
            </w:pPr>
            <w:r w:rsidRPr="00A30D85">
              <w:rPr>
                <w:color w:val="000000"/>
                <w:sz w:val="20"/>
                <w:szCs w:val="20"/>
              </w:rPr>
              <w:t>83634</w:t>
            </w:r>
          </w:p>
        </w:tc>
        <w:tc>
          <w:tcPr>
            <w:tcW w:w="1134" w:type="dxa"/>
            <w:tcBorders>
              <w:top w:val="single" w:sz="18" w:space="0" w:color="auto"/>
              <w:left w:val="nil"/>
              <w:bottom w:val="single" w:sz="18" w:space="0" w:color="auto"/>
              <w:right w:val="single" w:sz="4" w:space="0" w:color="auto"/>
            </w:tcBorders>
            <w:shd w:val="clear" w:color="auto" w:fill="FFFF00"/>
            <w:noWrap/>
            <w:vAlign w:val="center"/>
            <w:hideMark/>
          </w:tcPr>
          <w:p w:rsidR="008A19EF" w:rsidRPr="00A30D85" w:rsidRDefault="008A19EF" w:rsidP="00A30D85">
            <w:pPr>
              <w:spacing w:line="240" w:lineRule="auto"/>
              <w:contextualSpacing/>
              <w:jc w:val="right"/>
              <w:rPr>
                <w:color w:val="000000"/>
                <w:sz w:val="20"/>
                <w:szCs w:val="20"/>
              </w:rPr>
            </w:pPr>
            <w:r w:rsidRPr="00A30D85">
              <w:rPr>
                <w:color w:val="000000"/>
                <w:sz w:val="20"/>
                <w:szCs w:val="20"/>
              </w:rPr>
              <w:t>87275</w:t>
            </w:r>
          </w:p>
        </w:tc>
        <w:tc>
          <w:tcPr>
            <w:tcW w:w="1276" w:type="dxa"/>
            <w:tcBorders>
              <w:top w:val="single" w:sz="18" w:space="0" w:color="auto"/>
              <w:left w:val="nil"/>
              <w:bottom w:val="single" w:sz="18" w:space="0" w:color="auto"/>
              <w:right w:val="single" w:sz="4" w:space="0" w:color="auto"/>
            </w:tcBorders>
            <w:shd w:val="clear" w:color="auto" w:fill="FFFF00"/>
            <w:noWrap/>
            <w:vAlign w:val="center"/>
            <w:hideMark/>
          </w:tcPr>
          <w:p w:rsidR="008A19EF" w:rsidRPr="00A30D85" w:rsidRDefault="008A19EF" w:rsidP="00A30D85">
            <w:pPr>
              <w:spacing w:line="240" w:lineRule="auto"/>
              <w:contextualSpacing/>
              <w:jc w:val="right"/>
              <w:rPr>
                <w:color w:val="000000"/>
                <w:sz w:val="20"/>
                <w:szCs w:val="20"/>
              </w:rPr>
            </w:pPr>
            <w:r w:rsidRPr="00A30D85">
              <w:rPr>
                <w:color w:val="000000"/>
                <w:sz w:val="20"/>
                <w:szCs w:val="20"/>
              </w:rPr>
              <w:t>91733</w:t>
            </w:r>
          </w:p>
        </w:tc>
        <w:tc>
          <w:tcPr>
            <w:tcW w:w="1134" w:type="dxa"/>
            <w:tcBorders>
              <w:top w:val="single" w:sz="18" w:space="0" w:color="auto"/>
              <w:left w:val="nil"/>
              <w:bottom w:val="single" w:sz="18" w:space="0" w:color="auto"/>
              <w:right w:val="single" w:sz="4" w:space="0" w:color="auto"/>
            </w:tcBorders>
            <w:shd w:val="clear" w:color="auto" w:fill="FFFF00"/>
            <w:noWrap/>
            <w:vAlign w:val="center"/>
            <w:hideMark/>
          </w:tcPr>
          <w:p w:rsidR="008A19EF" w:rsidRPr="00A30D85" w:rsidRDefault="008A19EF" w:rsidP="00A30D85">
            <w:pPr>
              <w:spacing w:line="240" w:lineRule="auto"/>
              <w:contextualSpacing/>
              <w:jc w:val="right"/>
              <w:rPr>
                <w:color w:val="000000"/>
                <w:sz w:val="20"/>
                <w:szCs w:val="20"/>
              </w:rPr>
            </w:pPr>
            <w:r w:rsidRPr="00A30D85">
              <w:rPr>
                <w:color w:val="000000"/>
                <w:sz w:val="20"/>
                <w:szCs w:val="20"/>
              </w:rPr>
              <w:t>94475</w:t>
            </w:r>
          </w:p>
        </w:tc>
        <w:tc>
          <w:tcPr>
            <w:tcW w:w="1134" w:type="dxa"/>
            <w:tcBorders>
              <w:top w:val="single" w:sz="18" w:space="0" w:color="auto"/>
              <w:left w:val="nil"/>
              <w:bottom w:val="single" w:sz="18" w:space="0" w:color="auto"/>
              <w:right w:val="single" w:sz="18" w:space="0" w:color="auto"/>
            </w:tcBorders>
            <w:shd w:val="clear" w:color="auto" w:fill="FFFF00"/>
            <w:noWrap/>
            <w:vAlign w:val="center"/>
            <w:hideMark/>
          </w:tcPr>
          <w:p w:rsidR="008A19EF" w:rsidRPr="00A30D85" w:rsidRDefault="008A19EF" w:rsidP="00A30D85">
            <w:pPr>
              <w:spacing w:line="240" w:lineRule="auto"/>
              <w:contextualSpacing/>
              <w:jc w:val="right"/>
              <w:rPr>
                <w:color w:val="000000"/>
                <w:sz w:val="20"/>
                <w:szCs w:val="20"/>
              </w:rPr>
            </w:pPr>
            <w:r w:rsidRPr="00A30D85">
              <w:rPr>
                <w:color w:val="000000"/>
                <w:sz w:val="20"/>
                <w:szCs w:val="20"/>
              </w:rPr>
              <w:t>98763</w:t>
            </w:r>
          </w:p>
        </w:tc>
      </w:tr>
      <w:tr w:rsidR="008A19EF" w:rsidRPr="00344365" w:rsidTr="00A30D85">
        <w:trPr>
          <w:trHeight w:val="300"/>
          <w:jc w:val="center"/>
        </w:trPr>
        <w:tc>
          <w:tcPr>
            <w:tcW w:w="2940" w:type="dxa"/>
            <w:tcBorders>
              <w:top w:val="single" w:sz="18" w:space="0" w:color="auto"/>
              <w:left w:val="single" w:sz="18" w:space="0" w:color="auto"/>
              <w:bottom w:val="single" w:sz="4" w:space="0" w:color="auto"/>
              <w:right w:val="single" w:sz="4" w:space="0" w:color="auto"/>
            </w:tcBorders>
            <w:shd w:val="clear" w:color="auto" w:fill="auto"/>
            <w:noWrap/>
            <w:vAlign w:val="center"/>
            <w:hideMark/>
          </w:tcPr>
          <w:p w:rsidR="008A19EF" w:rsidRPr="00A30D85" w:rsidRDefault="008A19EF" w:rsidP="00A30D85">
            <w:pPr>
              <w:spacing w:line="240" w:lineRule="auto"/>
              <w:contextualSpacing/>
              <w:rPr>
                <w:color w:val="000000"/>
                <w:sz w:val="20"/>
                <w:szCs w:val="20"/>
              </w:rPr>
            </w:pPr>
            <w:r w:rsidRPr="00A30D85">
              <w:rPr>
                <w:color w:val="000000"/>
                <w:sz w:val="20"/>
                <w:szCs w:val="20"/>
              </w:rPr>
              <w:t>Žilinský kraj</w:t>
            </w:r>
          </w:p>
        </w:tc>
        <w:tc>
          <w:tcPr>
            <w:tcW w:w="1186" w:type="dxa"/>
            <w:tcBorders>
              <w:top w:val="single" w:sz="18" w:space="0" w:color="auto"/>
              <w:left w:val="nil"/>
              <w:bottom w:val="single" w:sz="4" w:space="0" w:color="auto"/>
              <w:right w:val="single" w:sz="4" w:space="0" w:color="auto"/>
            </w:tcBorders>
            <w:shd w:val="clear" w:color="auto" w:fill="auto"/>
            <w:noWrap/>
            <w:vAlign w:val="center"/>
            <w:hideMark/>
          </w:tcPr>
          <w:p w:rsidR="008A19EF" w:rsidRPr="00A30D85" w:rsidRDefault="008A19EF" w:rsidP="00A30D85">
            <w:pPr>
              <w:spacing w:line="240" w:lineRule="auto"/>
              <w:contextualSpacing/>
              <w:jc w:val="right"/>
              <w:rPr>
                <w:color w:val="000000"/>
                <w:sz w:val="20"/>
                <w:szCs w:val="20"/>
              </w:rPr>
            </w:pPr>
            <w:r w:rsidRPr="00A30D85">
              <w:rPr>
                <w:color w:val="000000"/>
                <w:sz w:val="20"/>
                <w:szCs w:val="20"/>
              </w:rPr>
              <w:t>48289</w:t>
            </w:r>
          </w:p>
        </w:tc>
        <w:tc>
          <w:tcPr>
            <w:tcW w:w="1134" w:type="dxa"/>
            <w:tcBorders>
              <w:top w:val="single" w:sz="18" w:space="0" w:color="auto"/>
              <w:left w:val="nil"/>
              <w:bottom w:val="single" w:sz="4" w:space="0" w:color="auto"/>
              <w:right w:val="single" w:sz="4" w:space="0" w:color="auto"/>
            </w:tcBorders>
            <w:shd w:val="clear" w:color="auto" w:fill="auto"/>
            <w:noWrap/>
            <w:vAlign w:val="center"/>
            <w:hideMark/>
          </w:tcPr>
          <w:p w:rsidR="008A19EF" w:rsidRPr="00A30D85" w:rsidRDefault="008A19EF" w:rsidP="00A30D85">
            <w:pPr>
              <w:spacing w:line="240" w:lineRule="auto"/>
              <w:contextualSpacing/>
              <w:jc w:val="right"/>
              <w:rPr>
                <w:color w:val="000000"/>
                <w:sz w:val="20"/>
                <w:szCs w:val="20"/>
              </w:rPr>
            </w:pPr>
            <w:r w:rsidRPr="00A30D85">
              <w:rPr>
                <w:color w:val="000000"/>
                <w:sz w:val="20"/>
                <w:szCs w:val="20"/>
              </w:rPr>
              <w:t>50119</w:t>
            </w:r>
          </w:p>
        </w:tc>
        <w:tc>
          <w:tcPr>
            <w:tcW w:w="1276" w:type="dxa"/>
            <w:tcBorders>
              <w:top w:val="single" w:sz="18" w:space="0" w:color="auto"/>
              <w:left w:val="nil"/>
              <w:bottom w:val="single" w:sz="4" w:space="0" w:color="auto"/>
              <w:right w:val="single" w:sz="4" w:space="0" w:color="auto"/>
            </w:tcBorders>
            <w:shd w:val="clear" w:color="auto" w:fill="auto"/>
            <w:noWrap/>
            <w:vAlign w:val="center"/>
            <w:hideMark/>
          </w:tcPr>
          <w:p w:rsidR="008A19EF" w:rsidRPr="00A30D85" w:rsidRDefault="008A19EF" w:rsidP="00A30D85">
            <w:pPr>
              <w:spacing w:line="240" w:lineRule="auto"/>
              <w:contextualSpacing/>
              <w:jc w:val="right"/>
              <w:rPr>
                <w:color w:val="000000"/>
                <w:sz w:val="20"/>
                <w:szCs w:val="20"/>
              </w:rPr>
            </w:pPr>
            <w:r w:rsidRPr="00A30D85">
              <w:rPr>
                <w:color w:val="000000"/>
                <w:sz w:val="20"/>
                <w:szCs w:val="20"/>
              </w:rPr>
              <w:t>52570</w:t>
            </w:r>
          </w:p>
        </w:tc>
        <w:tc>
          <w:tcPr>
            <w:tcW w:w="1134" w:type="dxa"/>
            <w:tcBorders>
              <w:top w:val="single" w:sz="18" w:space="0" w:color="auto"/>
              <w:left w:val="nil"/>
              <w:bottom w:val="single" w:sz="4" w:space="0" w:color="auto"/>
              <w:right w:val="single" w:sz="4" w:space="0" w:color="auto"/>
            </w:tcBorders>
            <w:shd w:val="clear" w:color="auto" w:fill="auto"/>
            <w:noWrap/>
            <w:vAlign w:val="center"/>
            <w:hideMark/>
          </w:tcPr>
          <w:p w:rsidR="008A19EF" w:rsidRPr="00A30D85" w:rsidRDefault="008A19EF" w:rsidP="00A30D85">
            <w:pPr>
              <w:spacing w:line="240" w:lineRule="auto"/>
              <w:contextualSpacing/>
              <w:jc w:val="right"/>
              <w:rPr>
                <w:color w:val="000000"/>
                <w:sz w:val="20"/>
                <w:szCs w:val="20"/>
              </w:rPr>
            </w:pPr>
            <w:r w:rsidRPr="00A30D85">
              <w:rPr>
                <w:color w:val="000000"/>
                <w:sz w:val="20"/>
                <w:szCs w:val="20"/>
              </w:rPr>
              <w:t>54325</w:t>
            </w:r>
          </w:p>
        </w:tc>
        <w:tc>
          <w:tcPr>
            <w:tcW w:w="1134" w:type="dxa"/>
            <w:tcBorders>
              <w:top w:val="single" w:sz="18" w:space="0" w:color="auto"/>
              <w:left w:val="nil"/>
              <w:bottom w:val="single" w:sz="4" w:space="0" w:color="auto"/>
              <w:right w:val="single" w:sz="18" w:space="0" w:color="auto"/>
            </w:tcBorders>
            <w:shd w:val="clear" w:color="auto" w:fill="auto"/>
            <w:noWrap/>
            <w:vAlign w:val="center"/>
            <w:hideMark/>
          </w:tcPr>
          <w:p w:rsidR="008A19EF" w:rsidRPr="00A30D85" w:rsidRDefault="008A19EF" w:rsidP="00A30D85">
            <w:pPr>
              <w:spacing w:line="240" w:lineRule="auto"/>
              <w:contextualSpacing/>
              <w:jc w:val="right"/>
              <w:rPr>
                <w:color w:val="000000"/>
                <w:sz w:val="20"/>
                <w:szCs w:val="20"/>
              </w:rPr>
            </w:pPr>
            <w:r w:rsidRPr="00A30D85">
              <w:rPr>
                <w:color w:val="000000"/>
                <w:sz w:val="20"/>
                <w:szCs w:val="20"/>
              </w:rPr>
              <w:t>56978</w:t>
            </w:r>
          </w:p>
        </w:tc>
      </w:tr>
      <w:tr w:rsidR="008A19EF" w:rsidRPr="00344365" w:rsidTr="00A30D85">
        <w:trPr>
          <w:trHeight w:val="300"/>
          <w:jc w:val="center"/>
        </w:trPr>
        <w:tc>
          <w:tcPr>
            <w:tcW w:w="2940" w:type="dxa"/>
            <w:tcBorders>
              <w:top w:val="single" w:sz="4" w:space="0" w:color="auto"/>
              <w:left w:val="single" w:sz="18" w:space="0" w:color="auto"/>
              <w:bottom w:val="single" w:sz="18" w:space="0" w:color="auto"/>
              <w:right w:val="single" w:sz="4" w:space="0" w:color="auto"/>
            </w:tcBorders>
            <w:shd w:val="clear" w:color="auto" w:fill="auto"/>
            <w:noWrap/>
            <w:vAlign w:val="center"/>
            <w:hideMark/>
          </w:tcPr>
          <w:p w:rsidR="008A19EF" w:rsidRPr="00A30D85" w:rsidRDefault="008A19EF" w:rsidP="00A30D85">
            <w:pPr>
              <w:spacing w:line="240" w:lineRule="auto"/>
              <w:contextualSpacing/>
              <w:rPr>
                <w:color w:val="000000"/>
                <w:sz w:val="20"/>
                <w:szCs w:val="20"/>
              </w:rPr>
            </w:pPr>
            <w:r w:rsidRPr="00A30D85">
              <w:rPr>
                <w:color w:val="000000"/>
                <w:sz w:val="20"/>
                <w:szCs w:val="20"/>
              </w:rPr>
              <w:t>Banskobystrický kraj</w:t>
            </w:r>
          </w:p>
        </w:tc>
        <w:tc>
          <w:tcPr>
            <w:tcW w:w="1186" w:type="dxa"/>
            <w:tcBorders>
              <w:top w:val="single" w:sz="4" w:space="0" w:color="auto"/>
              <w:left w:val="nil"/>
              <w:bottom w:val="single" w:sz="18" w:space="0" w:color="auto"/>
              <w:right w:val="single" w:sz="4" w:space="0" w:color="auto"/>
            </w:tcBorders>
            <w:shd w:val="clear" w:color="auto" w:fill="auto"/>
            <w:noWrap/>
            <w:vAlign w:val="center"/>
            <w:hideMark/>
          </w:tcPr>
          <w:p w:rsidR="008A19EF" w:rsidRPr="00A30D85" w:rsidRDefault="008A19EF" w:rsidP="00A30D85">
            <w:pPr>
              <w:spacing w:line="240" w:lineRule="auto"/>
              <w:contextualSpacing/>
              <w:jc w:val="right"/>
              <w:rPr>
                <w:color w:val="000000"/>
                <w:sz w:val="20"/>
                <w:szCs w:val="20"/>
              </w:rPr>
            </w:pPr>
            <w:r w:rsidRPr="00A30D85">
              <w:rPr>
                <w:color w:val="000000"/>
                <w:sz w:val="20"/>
                <w:szCs w:val="20"/>
              </w:rPr>
              <w:t>35345</w:t>
            </w:r>
          </w:p>
        </w:tc>
        <w:tc>
          <w:tcPr>
            <w:tcW w:w="1134" w:type="dxa"/>
            <w:tcBorders>
              <w:top w:val="single" w:sz="4" w:space="0" w:color="auto"/>
              <w:left w:val="nil"/>
              <w:bottom w:val="single" w:sz="18" w:space="0" w:color="auto"/>
              <w:right w:val="single" w:sz="4" w:space="0" w:color="auto"/>
            </w:tcBorders>
            <w:shd w:val="clear" w:color="auto" w:fill="auto"/>
            <w:noWrap/>
            <w:vAlign w:val="center"/>
            <w:hideMark/>
          </w:tcPr>
          <w:p w:rsidR="008A19EF" w:rsidRPr="00A30D85" w:rsidRDefault="008A19EF" w:rsidP="00A30D85">
            <w:pPr>
              <w:spacing w:line="240" w:lineRule="auto"/>
              <w:contextualSpacing/>
              <w:jc w:val="right"/>
              <w:rPr>
                <w:color w:val="000000"/>
                <w:sz w:val="20"/>
                <w:szCs w:val="20"/>
              </w:rPr>
            </w:pPr>
            <w:r w:rsidRPr="00A30D85">
              <w:rPr>
                <w:color w:val="000000"/>
                <w:sz w:val="20"/>
                <w:szCs w:val="20"/>
              </w:rPr>
              <w:t>37156</w:t>
            </w:r>
          </w:p>
        </w:tc>
        <w:tc>
          <w:tcPr>
            <w:tcW w:w="1276" w:type="dxa"/>
            <w:tcBorders>
              <w:top w:val="single" w:sz="4" w:space="0" w:color="auto"/>
              <w:left w:val="nil"/>
              <w:bottom w:val="single" w:sz="18" w:space="0" w:color="auto"/>
              <w:right w:val="single" w:sz="4" w:space="0" w:color="auto"/>
            </w:tcBorders>
            <w:shd w:val="clear" w:color="auto" w:fill="auto"/>
            <w:noWrap/>
            <w:vAlign w:val="center"/>
            <w:hideMark/>
          </w:tcPr>
          <w:p w:rsidR="008A19EF" w:rsidRPr="00A30D85" w:rsidRDefault="008A19EF" w:rsidP="00A30D85">
            <w:pPr>
              <w:spacing w:line="240" w:lineRule="auto"/>
              <w:contextualSpacing/>
              <w:jc w:val="right"/>
              <w:rPr>
                <w:color w:val="000000"/>
                <w:sz w:val="20"/>
                <w:szCs w:val="20"/>
              </w:rPr>
            </w:pPr>
            <w:r w:rsidRPr="00A30D85">
              <w:rPr>
                <w:color w:val="000000"/>
                <w:sz w:val="20"/>
                <w:szCs w:val="20"/>
              </w:rPr>
              <w:t>39163</w:t>
            </w:r>
          </w:p>
        </w:tc>
        <w:tc>
          <w:tcPr>
            <w:tcW w:w="1134" w:type="dxa"/>
            <w:tcBorders>
              <w:top w:val="single" w:sz="4" w:space="0" w:color="auto"/>
              <w:left w:val="nil"/>
              <w:bottom w:val="single" w:sz="18" w:space="0" w:color="auto"/>
              <w:right w:val="single" w:sz="4" w:space="0" w:color="auto"/>
            </w:tcBorders>
            <w:shd w:val="clear" w:color="auto" w:fill="auto"/>
            <w:noWrap/>
            <w:vAlign w:val="center"/>
            <w:hideMark/>
          </w:tcPr>
          <w:p w:rsidR="008A19EF" w:rsidRPr="00A30D85" w:rsidRDefault="008A19EF" w:rsidP="00A30D85">
            <w:pPr>
              <w:spacing w:line="240" w:lineRule="auto"/>
              <w:contextualSpacing/>
              <w:jc w:val="right"/>
              <w:rPr>
                <w:color w:val="000000"/>
                <w:sz w:val="20"/>
                <w:szCs w:val="20"/>
              </w:rPr>
            </w:pPr>
            <w:r w:rsidRPr="00A30D85">
              <w:rPr>
                <w:color w:val="000000"/>
                <w:sz w:val="20"/>
                <w:szCs w:val="20"/>
              </w:rPr>
              <w:t>40150</w:t>
            </w:r>
          </w:p>
        </w:tc>
        <w:tc>
          <w:tcPr>
            <w:tcW w:w="1134" w:type="dxa"/>
            <w:tcBorders>
              <w:top w:val="single" w:sz="4" w:space="0" w:color="auto"/>
              <w:left w:val="nil"/>
              <w:bottom w:val="single" w:sz="18" w:space="0" w:color="auto"/>
              <w:right w:val="single" w:sz="18" w:space="0" w:color="auto"/>
            </w:tcBorders>
            <w:shd w:val="clear" w:color="auto" w:fill="auto"/>
            <w:noWrap/>
            <w:vAlign w:val="center"/>
            <w:hideMark/>
          </w:tcPr>
          <w:p w:rsidR="008A19EF" w:rsidRPr="00A30D85" w:rsidRDefault="008A19EF" w:rsidP="00A30D85">
            <w:pPr>
              <w:spacing w:line="240" w:lineRule="auto"/>
              <w:contextualSpacing/>
              <w:jc w:val="right"/>
              <w:rPr>
                <w:color w:val="000000"/>
                <w:sz w:val="20"/>
                <w:szCs w:val="20"/>
              </w:rPr>
            </w:pPr>
            <w:r w:rsidRPr="00A30D85">
              <w:rPr>
                <w:color w:val="000000"/>
                <w:sz w:val="20"/>
                <w:szCs w:val="20"/>
              </w:rPr>
              <w:t>41785</w:t>
            </w:r>
          </w:p>
        </w:tc>
      </w:tr>
      <w:tr w:rsidR="008A19EF" w:rsidRPr="00344365" w:rsidTr="00A30D85">
        <w:trPr>
          <w:trHeight w:val="300"/>
          <w:jc w:val="center"/>
        </w:trPr>
        <w:tc>
          <w:tcPr>
            <w:tcW w:w="2940" w:type="dxa"/>
            <w:tcBorders>
              <w:top w:val="single" w:sz="18" w:space="0" w:color="auto"/>
              <w:left w:val="single" w:sz="18" w:space="0" w:color="auto"/>
              <w:bottom w:val="single" w:sz="18" w:space="0" w:color="auto"/>
              <w:right w:val="single" w:sz="4" w:space="0" w:color="auto"/>
            </w:tcBorders>
            <w:shd w:val="clear" w:color="auto" w:fill="FFFF00"/>
            <w:noWrap/>
            <w:vAlign w:val="center"/>
            <w:hideMark/>
          </w:tcPr>
          <w:p w:rsidR="008A19EF" w:rsidRPr="00A30D85" w:rsidRDefault="008A19EF" w:rsidP="00A30D85">
            <w:pPr>
              <w:spacing w:line="240" w:lineRule="auto"/>
              <w:contextualSpacing/>
              <w:rPr>
                <w:color w:val="000000"/>
                <w:sz w:val="20"/>
                <w:szCs w:val="20"/>
              </w:rPr>
            </w:pPr>
            <w:r w:rsidRPr="00A30D85">
              <w:rPr>
                <w:color w:val="000000"/>
                <w:sz w:val="20"/>
                <w:szCs w:val="20"/>
              </w:rPr>
              <w:t>Východné Slovensko</w:t>
            </w:r>
          </w:p>
        </w:tc>
        <w:tc>
          <w:tcPr>
            <w:tcW w:w="1186" w:type="dxa"/>
            <w:tcBorders>
              <w:top w:val="single" w:sz="18" w:space="0" w:color="auto"/>
              <w:left w:val="nil"/>
              <w:bottom w:val="single" w:sz="18" w:space="0" w:color="auto"/>
              <w:right w:val="single" w:sz="4" w:space="0" w:color="auto"/>
            </w:tcBorders>
            <w:shd w:val="clear" w:color="auto" w:fill="FFFF00"/>
            <w:noWrap/>
            <w:vAlign w:val="center"/>
            <w:hideMark/>
          </w:tcPr>
          <w:p w:rsidR="008A19EF" w:rsidRPr="00A30D85" w:rsidRDefault="008A19EF" w:rsidP="00A30D85">
            <w:pPr>
              <w:spacing w:line="240" w:lineRule="auto"/>
              <w:contextualSpacing/>
              <w:jc w:val="right"/>
              <w:rPr>
                <w:color w:val="000000"/>
                <w:sz w:val="20"/>
                <w:szCs w:val="20"/>
              </w:rPr>
            </w:pPr>
            <w:r w:rsidRPr="00A30D85">
              <w:rPr>
                <w:color w:val="000000"/>
                <w:sz w:val="20"/>
                <w:szCs w:val="20"/>
              </w:rPr>
              <w:t>80496</w:t>
            </w:r>
          </w:p>
        </w:tc>
        <w:tc>
          <w:tcPr>
            <w:tcW w:w="1134" w:type="dxa"/>
            <w:tcBorders>
              <w:top w:val="single" w:sz="18" w:space="0" w:color="auto"/>
              <w:left w:val="nil"/>
              <w:bottom w:val="single" w:sz="18" w:space="0" w:color="auto"/>
              <w:right w:val="single" w:sz="4" w:space="0" w:color="auto"/>
            </w:tcBorders>
            <w:shd w:val="clear" w:color="auto" w:fill="FFFF00"/>
            <w:noWrap/>
            <w:vAlign w:val="center"/>
            <w:hideMark/>
          </w:tcPr>
          <w:p w:rsidR="008A19EF" w:rsidRPr="00A30D85" w:rsidRDefault="008A19EF" w:rsidP="00A30D85">
            <w:pPr>
              <w:spacing w:line="240" w:lineRule="auto"/>
              <w:contextualSpacing/>
              <w:jc w:val="right"/>
              <w:rPr>
                <w:color w:val="000000"/>
                <w:sz w:val="20"/>
                <w:szCs w:val="20"/>
              </w:rPr>
            </w:pPr>
            <w:r w:rsidRPr="00A30D85">
              <w:rPr>
                <w:color w:val="000000"/>
                <w:sz w:val="20"/>
                <w:szCs w:val="20"/>
              </w:rPr>
              <w:t>81953</w:t>
            </w:r>
          </w:p>
        </w:tc>
        <w:tc>
          <w:tcPr>
            <w:tcW w:w="1276" w:type="dxa"/>
            <w:tcBorders>
              <w:top w:val="single" w:sz="18" w:space="0" w:color="auto"/>
              <w:left w:val="nil"/>
              <w:bottom w:val="single" w:sz="18" w:space="0" w:color="auto"/>
              <w:right w:val="single" w:sz="4" w:space="0" w:color="auto"/>
            </w:tcBorders>
            <w:shd w:val="clear" w:color="auto" w:fill="FFFF00"/>
            <w:noWrap/>
            <w:vAlign w:val="center"/>
            <w:hideMark/>
          </w:tcPr>
          <w:p w:rsidR="008A19EF" w:rsidRPr="00A30D85" w:rsidRDefault="008A19EF" w:rsidP="00A30D85">
            <w:pPr>
              <w:spacing w:line="240" w:lineRule="auto"/>
              <w:contextualSpacing/>
              <w:jc w:val="right"/>
              <w:rPr>
                <w:color w:val="000000"/>
                <w:sz w:val="20"/>
                <w:szCs w:val="20"/>
              </w:rPr>
            </w:pPr>
            <w:r w:rsidRPr="00A30D85">
              <w:rPr>
                <w:color w:val="000000"/>
                <w:sz w:val="20"/>
                <w:szCs w:val="20"/>
              </w:rPr>
              <w:t>85864</w:t>
            </w:r>
          </w:p>
        </w:tc>
        <w:tc>
          <w:tcPr>
            <w:tcW w:w="1134" w:type="dxa"/>
            <w:tcBorders>
              <w:top w:val="single" w:sz="18" w:space="0" w:color="auto"/>
              <w:left w:val="nil"/>
              <w:bottom w:val="single" w:sz="18" w:space="0" w:color="auto"/>
              <w:right w:val="single" w:sz="4" w:space="0" w:color="auto"/>
            </w:tcBorders>
            <w:shd w:val="clear" w:color="auto" w:fill="FFFF00"/>
            <w:noWrap/>
            <w:vAlign w:val="center"/>
            <w:hideMark/>
          </w:tcPr>
          <w:p w:rsidR="008A19EF" w:rsidRPr="00A30D85" w:rsidRDefault="008A19EF" w:rsidP="00A30D85">
            <w:pPr>
              <w:spacing w:line="240" w:lineRule="auto"/>
              <w:contextualSpacing/>
              <w:jc w:val="right"/>
              <w:rPr>
                <w:color w:val="000000"/>
                <w:sz w:val="20"/>
                <w:szCs w:val="20"/>
              </w:rPr>
            </w:pPr>
            <w:r w:rsidRPr="00A30D85">
              <w:rPr>
                <w:color w:val="000000"/>
                <w:sz w:val="20"/>
                <w:szCs w:val="20"/>
              </w:rPr>
              <w:t>91116</w:t>
            </w:r>
          </w:p>
        </w:tc>
        <w:tc>
          <w:tcPr>
            <w:tcW w:w="1134" w:type="dxa"/>
            <w:tcBorders>
              <w:top w:val="single" w:sz="18" w:space="0" w:color="auto"/>
              <w:left w:val="nil"/>
              <w:bottom w:val="single" w:sz="18" w:space="0" w:color="auto"/>
              <w:right w:val="single" w:sz="18" w:space="0" w:color="auto"/>
            </w:tcBorders>
            <w:shd w:val="clear" w:color="auto" w:fill="FFFF00"/>
            <w:noWrap/>
            <w:vAlign w:val="center"/>
            <w:hideMark/>
          </w:tcPr>
          <w:p w:rsidR="008A19EF" w:rsidRPr="00A30D85" w:rsidRDefault="008A19EF" w:rsidP="00A30D85">
            <w:pPr>
              <w:spacing w:line="240" w:lineRule="auto"/>
              <w:contextualSpacing/>
              <w:jc w:val="right"/>
              <w:rPr>
                <w:color w:val="000000"/>
                <w:sz w:val="20"/>
                <w:szCs w:val="20"/>
              </w:rPr>
            </w:pPr>
            <w:r w:rsidRPr="00A30D85">
              <w:rPr>
                <w:color w:val="000000"/>
                <w:sz w:val="20"/>
                <w:szCs w:val="20"/>
              </w:rPr>
              <w:t>97998</w:t>
            </w:r>
          </w:p>
        </w:tc>
      </w:tr>
      <w:tr w:rsidR="008A19EF" w:rsidRPr="00344365" w:rsidTr="00A30D85">
        <w:trPr>
          <w:trHeight w:val="300"/>
          <w:jc w:val="center"/>
        </w:trPr>
        <w:tc>
          <w:tcPr>
            <w:tcW w:w="2940" w:type="dxa"/>
            <w:tcBorders>
              <w:top w:val="single" w:sz="18" w:space="0" w:color="auto"/>
              <w:left w:val="single" w:sz="18" w:space="0" w:color="auto"/>
              <w:bottom w:val="single" w:sz="4" w:space="0" w:color="auto"/>
              <w:right w:val="single" w:sz="4" w:space="0" w:color="auto"/>
            </w:tcBorders>
            <w:shd w:val="clear" w:color="auto" w:fill="auto"/>
            <w:noWrap/>
            <w:vAlign w:val="center"/>
            <w:hideMark/>
          </w:tcPr>
          <w:p w:rsidR="008A19EF" w:rsidRPr="00A30D85" w:rsidRDefault="008A19EF" w:rsidP="00A30D85">
            <w:pPr>
              <w:spacing w:line="240" w:lineRule="auto"/>
              <w:contextualSpacing/>
              <w:rPr>
                <w:color w:val="000000"/>
                <w:sz w:val="20"/>
                <w:szCs w:val="20"/>
              </w:rPr>
            </w:pPr>
            <w:r w:rsidRPr="00A30D85">
              <w:rPr>
                <w:color w:val="000000"/>
                <w:sz w:val="20"/>
                <w:szCs w:val="20"/>
              </w:rPr>
              <w:t>Prešovský kraj</w:t>
            </w:r>
          </w:p>
        </w:tc>
        <w:tc>
          <w:tcPr>
            <w:tcW w:w="1186" w:type="dxa"/>
            <w:tcBorders>
              <w:top w:val="single" w:sz="18" w:space="0" w:color="auto"/>
              <w:left w:val="nil"/>
              <w:bottom w:val="single" w:sz="4" w:space="0" w:color="auto"/>
              <w:right w:val="single" w:sz="4" w:space="0" w:color="auto"/>
            </w:tcBorders>
            <w:shd w:val="clear" w:color="auto" w:fill="auto"/>
            <w:noWrap/>
            <w:vAlign w:val="center"/>
            <w:hideMark/>
          </w:tcPr>
          <w:p w:rsidR="008A19EF" w:rsidRPr="00A30D85" w:rsidRDefault="008A19EF" w:rsidP="00A30D85">
            <w:pPr>
              <w:spacing w:line="240" w:lineRule="auto"/>
              <w:contextualSpacing/>
              <w:jc w:val="right"/>
              <w:rPr>
                <w:color w:val="000000"/>
                <w:sz w:val="20"/>
                <w:szCs w:val="20"/>
              </w:rPr>
            </w:pPr>
            <w:r w:rsidRPr="00A30D85">
              <w:rPr>
                <w:color w:val="000000"/>
                <w:sz w:val="20"/>
                <w:szCs w:val="20"/>
              </w:rPr>
              <w:t>44787</w:t>
            </w:r>
          </w:p>
        </w:tc>
        <w:tc>
          <w:tcPr>
            <w:tcW w:w="1134" w:type="dxa"/>
            <w:tcBorders>
              <w:top w:val="single" w:sz="18" w:space="0" w:color="auto"/>
              <w:left w:val="nil"/>
              <w:bottom w:val="single" w:sz="4" w:space="0" w:color="auto"/>
              <w:right w:val="single" w:sz="4" w:space="0" w:color="auto"/>
            </w:tcBorders>
            <w:shd w:val="clear" w:color="auto" w:fill="auto"/>
            <w:noWrap/>
            <w:vAlign w:val="center"/>
            <w:hideMark/>
          </w:tcPr>
          <w:p w:rsidR="008A19EF" w:rsidRPr="00A30D85" w:rsidRDefault="008A19EF" w:rsidP="00A30D85">
            <w:pPr>
              <w:spacing w:line="240" w:lineRule="auto"/>
              <w:contextualSpacing/>
              <w:jc w:val="right"/>
              <w:rPr>
                <w:color w:val="000000"/>
                <w:sz w:val="20"/>
                <w:szCs w:val="20"/>
              </w:rPr>
            </w:pPr>
            <w:r w:rsidRPr="00A30D85">
              <w:rPr>
                <w:color w:val="000000"/>
                <w:sz w:val="20"/>
                <w:szCs w:val="20"/>
              </w:rPr>
              <w:t>46006</w:t>
            </w:r>
          </w:p>
        </w:tc>
        <w:tc>
          <w:tcPr>
            <w:tcW w:w="1276" w:type="dxa"/>
            <w:tcBorders>
              <w:top w:val="single" w:sz="18" w:space="0" w:color="auto"/>
              <w:left w:val="nil"/>
              <w:bottom w:val="single" w:sz="4" w:space="0" w:color="auto"/>
              <w:right w:val="single" w:sz="4" w:space="0" w:color="auto"/>
            </w:tcBorders>
            <w:shd w:val="clear" w:color="auto" w:fill="auto"/>
            <w:noWrap/>
            <w:vAlign w:val="center"/>
            <w:hideMark/>
          </w:tcPr>
          <w:p w:rsidR="008A19EF" w:rsidRPr="00A30D85" w:rsidRDefault="008A19EF" w:rsidP="00A30D85">
            <w:pPr>
              <w:spacing w:line="240" w:lineRule="auto"/>
              <w:contextualSpacing/>
              <w:jc w:val="right"/>
              <w:rPr>
                <w:color w:val="000000"/>
                <w:sz w:val="20"/>
                <w:szCs w:val="20"/>
              </w:rPr>
            </w:pPr>
            <w:r w:rsidRPr="00A30D85">
              <w:rPr>
                <w:color w:val="000000"/>
                <w:sz w:val="20"/>
                <w:szCs w:val="20"/>
              </w:rPr>
              <w:t>49019</w:t>
            </w:r>
          </w:p>
        </w:tc>
        <w:tc>
          <w:tcPr>
            <w:tcW w:w="1134" w:type="dxa"/>
            <w:tcBorders>
              <w:top w:val="single" w:sz="18" w:space="0" w:color="auto"/>
              <w:left w:val="nil"/>
              <w:bottom w:val="single" w:sz="4" w:space="0" w:color="auto"/>
              <w:right w:val="single" w:sz="4" w:space="0" w:color="auto"/>
            </w:tcBorders>
            <w:shd w:val="clear" w:color="auto" w:fill="auto"/>
            <w:noWrap/>
            <w:vAlign w:val="center"/>
            <w:hideMark/>
          </w:tcPr>
          <w:p w:rsidR="008A19EF" w:rsidRPr="00A30D85" w:rsidRDefault="008A19EF" w:rsidP="00A30D85">
            <w:pPr>
              <w:spacing w:line="240" w:lineRule="auto"/>
              <w:contextualSpacing/>
              <w:jc w:val="right"/>
              <w:rPr>
                <w:color w:val="000000"/>
                <w:sz w:val="20"/>
                <w:szCs w:val="20"/>
              </w:rPr>
            </w:pPr>
            <w:r w:rsidRPr="00A30D85">
              <w:rPr>
                <w:color w:val="000000"/>
                <w:sz w:val="20"/>
                <w:szCs w:val="20"/>
              </w:rPr>
              <w:t>52618</w:t>
            </w:r>
          </w:p>
        </w:tc>
        <w:tc>
          <w:tcPr>
            <w:tcW w:w="1134" w:type="dxa"/>
            <w:tcBorders>
              <w:top w:val="single" w:sz="18" w:space="0" w:color="auto"/>
              <w:left w:val="nil"/>
              <w:bottom w:val="single" w:sz="4" w:space="0" w:color="auto"/>
              <w:right w:val="single" w:sz="18" w:space="0" w:color="auto"/>
            </w:tcBorders>
            <w:shd w:val="clear" w:color="auto" w:fill="auto"/>
            <w:noWrap/>
            <w:vAlign w:val="center"/>
            <w:hideMark/>
          </w:tcPr>
          <w:p w:rsidR="008A19EF" w:rsidRPr="00A30D85" w:rsidRDefault="008A19EF" w:rsidP="00A30D85">
            <w:pPr>
              <w:spacing w:line="240" w:lineRule="auto"/>
              <w:contextualSpacing/>
              <w:jc w:val="right"/>
              <w:rPr>
                <w:color w:val="000000"/>
                <w:sz w:val="20"/>
                <w:szCs w:val="20"/>
              </w:rPr>
            </w:pPr>
            <w:r w:rsidRPr="00A30D85">
              <w:rPr>
                <w:color w:val="000000"/>
                <w:sz w:val="20"/>
                <w:szCs w:val="20"/>
              </w:rPr>
              <w:t>57998</w:t>
            </w:r>
          </w:p>
        </w:tc>
      </w:tr>
      <w:tr w:rsidR="008A19EF" w:rsidRPr="00344365" w:rsidTr="00A30D85">
        <w:trPr>
          <w:trHeight w:val="300"/>
          <w:jc w:val="center"/>
        </w:trPr>
        <w:tc>
          <w:tcPr>
            <w:tcW w:w="2940" w:type="dxa"/>
            <w:tcBorders>
              <w:top w:val="single" w:sz="4" w:space="0" w:color="auto"/>
              <w:left w:val="single" w:sz="18" w:space="0" w:color="auto"/>
              <w:bottom w:val="single" w:sz="18" w:space="0" w:color="auto"/>
              <w:right w:val="single" w:sz="4" w:space="0" w:color="auto"/>
            </w:tcBorders>
            <w:shd w:val="clear" w:color="auto" w:fill="auto"/>
            <w:noWrap/>
            <w:vAlign w:val="center"/>
            <w:hideMark/>
          </w:tcPr>
          <w:p w:rsidR="008A19EF" w:rsidRPr="00A30D85" w:rsidRDefault="008A19EF" w:rsidP="00A30D85">
            <w:pPr>
              <w:spacing w:line="240" w:lineRule="auto"/>
              <w:contextualSpacing/>
              <w:rPr>
                <w:color w:val="000000"/>
                <w:sz w:val="20"/>
                <w:szCs w:val="20"/>
              </w:rPr>
            </w:pPr>
            <w:r w:rsidRPr="00A30D85">
              <w:rPr>
                <w:color w:val="000000"/>
                <w:sz w:val="20"/>
                <w:szCs w:val="20"/>
              </w:rPr>
              <w:t>Košický kraj</w:t>
            </w:r>
          </w:p>
        </w:tc>
        <w:tc>
          <w:tcPr>
            <w:tcW w:w="1186" w:type="dxa"/>
            <w:tcBorders>
              <w:top w:val="single" w:sz="4" w:space="0" w:color="auto"/>
              <w:left w:val="nil"/>
              <w:bottom w:val="single" w:sz="18" w:space="0" w:color="auto"/>
              <w:right w:val="single" w:sz="4" w:space="0" w:color="auto"/>
            </w:tcBorders>
            <w:shd w:val="clear" w:color="auto" w:fill="auto"/>
            <w:noWrap/>
            <w:vAlign w:val="center"/>
            <w:hideMark/>
          </w:tcPr>
          <w:p w:rsidR="008A19EF" w:rsidRPr="00A30D85" w:rsidRDefault="008A19EF" w:rsidP="00A30D85">
            <w:pPr>
              <w:spacing w:line="240" w:lineRule="auto"/>
              <w:contextualSpacing/>
              <w:jc w:val="right"/>
              <w:rPr>
                <w:color w:val="000000"/>
                <w:sz w:val="20"/>
                <w:szCs w:val="20"/>
              </w:rPr>
            </w:pPr>
            <w:r w:rsidRPr="00A30D85">
              <w:rPr>
                <w:color w:val="000000"/>
                <w:sz w:val="20"/>
                <w:szCs w:val="20"/>
              </w:rPr>
              <w:t>35709</w:t>
            </w:r>
          </w:p>
        </w:tc>
        <w:tc>
          <w:tcPr>
            <w:tcW w:w="1134" w:type="dxa"/>
            <w:tcBorders>
              <w:top w:val="single" w:sz="4" w:space="0" w:color="auto"/>
              <w:left w:val="nil"/>
              <w:bottom w:val="single" w:sz="18" w:space="0" w:color="auto"/>
              <w:right w:val="single" w:sz="4" w:space="0" w:color="auto"/>
            </w:tcBorders>
            <w:shd w:val="clear" w:color="auto" w:fill="auto"/>
            <w:noWrap/>
            <w:vAlign w:val="center"/>
            <w:hideMark/>
          </w:tcPr>
          <w:p w:rsidR="008A19EF" w:rsidRPr="00A30D85" w:rsidRDefault="008A19EF" w:rsidP="00A30D85">
            <w:pPr>
              <w:spacing w:line="240" w:lineRule="auto"/>
              <w:contextualSpacing/>
              <w:jc w:val="right"/>
              <w:rPr>
                <w:color w:val="000000"/>
                <w:sz w:val="20"/>
                <w:szCs w:val="20"/>
              </w:rPr>
            </w:pPr>
            <w:r w:rsidRPr="00A30D85">
              <w:rPr>
                <w:color w:val="000000"/>
                <w:sz w:val="20"/>
                <w:szCs w:val="20"/>
              </w:rPr>
              <w:t>35947</w:t>
            </w:r>
          </w:p>
        </w:tc>
        <w:tc>
          <w:tcPr>
            <w:tcW w:w="1276" w:type="dxa"/>
            <w:tcBorders>
              <w:top w:val="single" w:sz="4" w:space="0" w:color="auto"/>
              <w:left w:val="nil"/>
              <w:bottom w:val="single" w:sz="18" w:space="0" w:color="auto"/>
              <w:right w:val="single" w:sz="4" w:space="0" w:color="auto"/>
            </w:tcBorders>
            <w:shd w:val="clear" w:color="auto" w:fill="auto"/>
            <w:noWrap/>
            <w:vAlign w:val="center"/>
            <w:hideMark/>
          </w:tcPr>
          <w:p w:rsidR="008A19EF" w:rsidRPr="00A30D85" w:rsidRDefault="008A19EF" w:rsidP="00A30D85">
            <w:pPr>
              <w:spacing w:line="240" w:lineRule="auto"/>
              <w:contextualSpacing/>
              <w:jc w:val="right"/>
              <w:rPr>
                <w:color w:val="000000"/>
                <w:sz w:val="20"/>
                <w:szCs w:val="20"/>
              </w:rPr>
            </w:pPr>
            <w:r w:rsidRPr="00A30D85">
              <w:rPr>
                <w:color w:val="000000"/>
                <w:sz w:val="20"/>
                <w:szCs w:val="20"/>
              </w:rPr>
              <w:t>36845</w:t>
            </w:r>
          </w:p>
        </w:tc>
        <w:tc>
          <w:tcPr>
            <w:tcW w:w="1134" w:type="dxa"/>
            <w:tcBorders>
              <w:top w:val="single" w:sz="4" w:space="0" w:color="auto"/>
              <w:left w:val="nil"/>
              <w:bottom w:val="single" w:sz="18" w:space="0" w:color="auto"/>
              <w:right w:val="single" w:sz="4" w:space="0" w:color="auto"/>
            </w:tcBorders>
            <w:shd w:val="clear" w:color="auto" w:fill="auto"/>
            <w:noWrap/>
            <w:vAlign w:val="center"/>
            <w:hideMark/>
          </w:tcPr>
          <w:p w:rsidR="008A19EF" w:rsidRPr="00A30D85" w:rsidRDefault="008A19EF" w:rsidP="00A30D85">
            <w:pPr>
              <w:spacing w:line="240" w:lineRule="auto"/>
              <w:contextualSpacing/>
              <w:jc w:val="right"/>
              <w:rPr>
                <w:color w:val="000000"/>
                <w:sz w:val="20"/>
                <w:szCs w:val="20"/>
              </w:rPr>
            </w:pPr>
            <w:r w:rsidRPr="00A30D85">
              <w:rPr>
                <w:color w:val="000000"/>
                <w:sz w:val="20"/>
                <w:szCs w:val="20"/>
              </w:rPr>
              <w:t>38498</w:t>
            </w:r>
          </w:p>
        </w:tc>
        <w:tc>
          <w:tcPr>
            <w:tcW w:w="1134" w:type="dxa"/>
            <w:tcBorders>
              <w:top w:val="single" w:sz="4" w:space="0" w:color="auto"/>
              <w:left w:val="nil"/>
              <w:bottom w:val="single" w:sz="18" w:space="0" w:color="auto"/>
              <w:right w:val="single" w:sz="18" w:space="0" w:color="auto"/>
            </w:tcBorders>
            <w:shd w:val="clear" w:color="auto" w:fill="auto"/>
            <w:noWrap/>
            <w:vAlign w:val="center"/>
            <w:hideMark/>
          </w:tcPr>
          <w:p w:rsidR="008A19EF" w:rsidRPr="00A30D85" w:rsidRDefault="008A19EF" w:rsidP="00A30D85">
            <w:pPr>
              <w:spacing w:line="240" w:lineRule="auto"/>
              <w:contextualSpacing/>
              <w:jc w:val="right"/>
              <w:rPr>
                <w:color w:val="000000"/>
                <w:sz w:val="20"/>
                <w:szCs w:val="20"/>
              </w:rPr>
            </w:pPr>
            <w:r w:rsidRPr="00A30D85">
              <w:rPr>
                <w:color w:val="000000"/>
                <w:sz w:val="20"/>
                <w:szCs w:val="20"/>
              </w:rPr>
              <w:t>40000</w:t>
            </w:r>
          </w:p>
        </w:tc>
      </w:tr>
    </w:tbl>
    <w:p w:rsidR="008A19EF" w:rsidRPr="00344365" w:rsidRDefault="008A19EF" w:rsidP="00A30D85">
      <w:pPr>
        <w:spacing w:line="240" w:lineRule="auto"/>
        <w:contextualSpacing/>
      </w:pPr>
      <w:r w:rsidRPr="00344365">
        <w:rPr>
          <w:bCs/>
        </w:rPr>
        <w:t>Zdroj: ŠÚ SR</w:t>
      </w:r>
    </w:p>
    <w:p w:rsidR="008A19EF" w:rsidRDefault="008A19EF" w:rsidP="008A19EF">
      <w:pPr>
        <w:contextualSpacing/>
      </w:pPr>
    </w:p>
    <w:p w:rsidR="003747F5" w:rsidRPr="003747F5" w:rsidRDefault="003747F5" w:rsidP="003747F5">
      <w:pPr>
        <w:spacing w:line="240" w:lineRule="auto"/>
        <w:contextualSpacing/>
        <w:rPr>
          <w:b/>
        </w:rPr>
      </w:pPr>
      <w:r>
        <w:rPr>
          <w:b/>
        </w:rPr>
        <w:t xml:space="preserve">                                                                                                                       </w:t>
      </w:r>
      <w:r w:rsidRPr="003747F5">
        <w:rPr>
          <w:b/>
        </w:rPr>
        <w:t>Obr. 3</w:t>
      </w:r>
    </w:p>
    <w:p w:rsidR="003747F5" w:rsidRDefault="003747F5" w:rsidP="003747F5">
      <w:pPr>
        <w:contextualSpacing/>
        <w:jc w:val="center"/>
      </w:pPr>
      <w:r>
        <w:rPr>
          <w:noProof/>
          <w:lang w:eastAsia="sk-SK"/>
        </w:rPr>
        <w:drawing>
          <wp:inline distT="0" distB="0" distL="0" distR="0">
            <wp:extent cx="4505325" cy="4705350"/>
            <wp:effectExtent l="19050" t="0" r="9525" b="0"/>
            <wp:docPr id="2" name="Graf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747F5" w:rsidRDefault="003747F5" w:rsidP="008A19EF">
      <w:pPr>
        <w:ind w:firstLine="708"/>
        <w:contextualSpacing/>
        <w:rPr>
          <w:bCs/>
        </w:rPr>
      </w:pPr>
      <w:r w:rsidRPr="00344365">
        <w:rPr>
          <w:bCs/>
        </w:rPr>
        <w:t>Zdroj: ŠÚ SR</w:t>
      </w:r>
      <w:r>
        <w:rPr>
          <w:bCs/>
        </w:rPr>
        <w:t xml:space="preserve"> + vlastné spracovanie</w:t>
      </w:r>
    </w:p>
    <w:p w:rsidR="003747F5" w:rsidRDefault="003747F5" w:rsidP="008A19EF">
      <w:pPr>
        <w:ind w:firstLine="708"/>
        <w:contextualSpacing/>
        <w:rPr>
          <w:bCs/>
        </w:rPr>
      </w:pPr>
    </w:p>
    <w:p w:rsidR="00A30D85" w:rsidRPr="003747F5" w:rsidRDefault="008A19EF" w:rsidP="003747F5">
      <w:pPr>
        <w:ind w:firstLine="708"/>
        <w:contextualSpacing/>
        <w:rPr>
          <w:bCs/>
        </w:rPr>
      </w:pPr>
      <w:r>
        <w:rPr>
          <w:bCs/>
        </w:rPr>
        <w:lastRenderedPageBreak/>
        <w:t xml:space="preserve">Ako sme už spomínali, v rámci ekonomických činností sústredili živnostníci svoju pozornosť do rôznych oblastí. </w:t>
      </w:r>
      <w:r>
        <w:t xml:space="preserve">Najväčšiu pozornosť však sústredili živnostníci na obchod, v ktorom dominuje oblasť Západného Slovenska, najmä Nitriansky kraj (priemerný počet živnostníkov 16 407). Naopak najmenšie zastúpenie obchodu s priemerným počtom 19 431 živnostníkov bolo zaznamenané v oblasti Bratislavského kraja, avšak na úrovni samosprávnych krajov bol na prvom mieste. Najmenej sa živnostníci venovali </w:t>
      </w:r>
      <w:r>
        <w:rPr>
          <w:bCs/>
        </w:rPr>
        <w:t xml:space="preserve">zdravotníctvu a sociálnej pomoci, najmä v oblasti Bratislavského kraja (priemerný počet živnostníkov 147), avšak na úrovni samosprávnych krajov bol podobne ako v oblasti obchodu na prvom mieste. Naopak najviac sa tejto oblasti venovala oblasť Východného Slovenska, konkrétne Prešovský kraj s priemerným počtom živnostníkov 127. Z hľadiska posudzovania ekonomických činností na úrovni samosprávnych krajov bolo najmenej živnostníkov v oblasti obchodu evidovaných v Trnavskom kraji (11 086), ale v oblasti zdravotníctva a sociálnej pomoci v Nitrianskom kraji (47).    </w:t>
      </w:r>
      <w:r w:rsidRPr="00344365">
        <w:rPr>
          <w:b/>
        </w:rPr>
        <w:t xml:space="preserve">                   </w:t>
      </w:r>
    </w:p>
    <w:p w:rsidR="008A19EF" w:rsidRPr="00804A34" w:rsidRDefault="008A19EF" w:rsidP="008A19EF">
      <w:pPr>
        <w:ind w:firstLine="708"/>
        <w:contextualSpacing/>
      </w:pPr>
      <w:r w:rsidRPr="00344365">
        <w:rPr>
          <w:b/>
        </w:rPr>
        <w:t xml:space="preserve">                                                                   </w:t>
      </w:r>
    </w:p>
    <w:p w:rsidR="008A19EF" w:rsidRDefault="008A19EF" w:rsidP="00A30D85">
      <w:pPr>
        <w:contextualSpacing/>
        <w:jc w:val="left"/>
        <w:rPr>
          <w:b/>
        </w:rPr>
      </w:pPr>
      <w:r>
        <w:rPr>
          <w:b/>
          <w:bCs/>
        </w:rPr>
        <w:t>Živnostníci</w:t>
      </w:r>
      <w:r w:rsidRPr="009D56AF">
        <w:rPr>
          <w:b/>
          <w:bCs/>
        </w:rPr>
        <w:t xml:space="preserve"> podľa vybraných druhov ekonomických činností na </w:t>
      </w:r>
      <w:r>
        <w:rPr>
          <w:b/>
          <w:bCs/>
        </w:rPr>
        <w:t>úrovni NUTS 2</w:t>
      </w:r>
      <w:r w:rsidRPr="009D56AF">
        <w:rPr>
          <w:b/>
          <w:bCs/>
        </w:rPr>
        <w:t xml:space="preserve"> </w:t>
      </w:r>
      <w:r w:rsidR="00A30D85">
        <w:rPr>
          <w:b/>
          <w:bCs/>
        </w:rPr>
        <w:t xml:space="preserve">            </w:t>
      </w:r>
      <w:r>
        <w:rPr>
          <w:b/>
          <w:bCs/>
        </w:rPr>
        <w:t>v SR</w:t>
      </w:r>
      <w:r w:rsidRPr="009D56AF">
        <w:rPr>
          <w:b/>
          <w:bCs/>
        </w:rPr>
        <w:t xml:space="preserve"> v sledovanom období 2004 - 2008</w:t>
      </w:r>
      <w:r w:rsidRPr="00344365">
        <w:rPr>
          <w:b/>
        </w:rPr>
        <w:t xml:space="preserve">                                                                                          </w:t>
      </w:r>
      <w:r>
        <w:rPr>
          <w:b/>
        </w:rPr>
        <w:t xml:space="preserve">                                    </w:t>
      </w:r>
    </w:p>
    <w:p w:rsidR="008A19EF" w:rsidRPr="00344365" w:rsidRDefault="008A19EF" w:rsidP="00E45149">
      <w:pPr>
        <w:spacing w:line="240" w:lineRule="auto"/>
        <w:contextualSpacing/>
        <w:rPr>
          <w:b/>
        </w:rPr>
      </w:pPr>
      <w:r>
        <w:rPr>
          <w:b/>
        </w:rPr>
        <w:t xml:space="preserve">                                                                                                                           </w:t>
      </w:r>
      <w:r w:rsidRPr="00344365">
        <w:rPr>
          <w:b/>
        </w:rPr>
        <w:t xml:space="preserve">Tabuľka </w:t>
      </w:r>
      <w:r w:rsidR="00472F63">
        <w:rPr>
          <w:b/>
        </w:rPr>
        <w:t>6</w:t>
      </w:r>
    </w:p>
    <w:tbl>
      <w:tblPr>
        <w:tblW w:w="8787" w:type="dxa"/>
        <w:jc w:val="center"/>
        <w:tblInd w:w="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tblPr>
      <w:tblGrid>
        <w:gridCol w:w="2835"/>
        <w:gridCol w:w="1488"/>
        <w:gridCol w:w="1488"/>
        <w:gridCol w:w="1488"/>
        <w:gridCol w:w="1488"/>
      </w:tblGrid>
      <w:tr w:rsidR="008A19EF" w:rsidRPr="00344365" w:rsidTr="00E45149">
        <w:trPr>
          <w:trHeight w:val="308"/>
          <w:jc w:val="center"/>
        </w:trPr>
        <w:tc>
          <w:tcPr>
            <w:tcW w:w="2835" w:type="dxa"/>
            <w:tcBorders>
              <w:top w:val="single" w:sz="18" w:space="0" w:color="auto"/>
              <w:bottom w:val="single" w:sz="18" w:space="0" w:color="auto"/>
            </w:tcBorders>
            <w:shd w:val="clear" w:color="auto" w:fill="auto"/>
            <w:noWrap/>
            <w:vAlign w:val="center"/>
            <w:hideMark/>
          </w:tcPr>
          <w:p w:rsidR="008A19EF" w:rsidRPr="00E45149" w:rsidRDefault="008A19EF" w:rsidP="00E45149">
            <w:pPr>
              <w:spacing w:line="240" w:lineRule="auto"/>
              <w:jc w:val="center"/>
              <w:rPr>
                <w:color w:val="000000"/>
                <w:sz w:val="20"/>
                <w:szCs w:val="20"/>
              </w:rPr>
            </w:pPr>
            <w:r w:rsidRPr="00E45149">
              <w:rPr>
                <w:b/>
                <w:color w:val="000000"/>
                <w:sz w:val="20"/>
                <w:szCs w:val="20"/>
              </w:rPr>
              <w:t>2004 - 2008</w:t>
            </w:r>
          </w:p>
        </w:tc>
        <w:tc>
          <w:tcPr>
            <w:tcW w:w="1488" w:type="dxa"/>
            <w:tcBorders>
              <w:top w:val="single" w:sz="18" w:space="0" w:color="auto"/>
              <w:bottom w:val="single" w:sz="18" w:space="0" w:color="auto"/>
            </w:tcBorders>
            <w:shd w:val="clear" w:color="auto" w:fill="auto"/>
            <w:vAlign w:val="center"/>
          </w:tcPr>
          <w:p w:rsidR="008A19EF" w:rsidRPr="00E45149" w:rsidRDefault="008A19EF" w:rsidP="00E45149">
            <w:pPr>
              <w:spacing w:line="240" w:lineRule="auto"/>
              <w:jc w:val="center"/>
              <w:rPr>
                <w:b/>
                <w:bCs/>
                <w:color w:val="000000"/>
                <w:sz w:val="20"/>
                <w:szCs w:val="20"/>
              </w:rPr>
            </w:pPr>
            <w:r w:rsidRPr="00E45149">
              <w:rPr>
                <w:b/>
                <w:bCs/>
                <w:color w:val="000000"/>
                <w:sz w:val="20"/>
                <w:szCs w:val="20"/>
              </w:rPr>
              <w:t>Bratislavský kraj</w:t>
            </w:r>
          </w:p>
        </w:tc>
        <w:tc>
          <w:tcPr>
            <w:tcW w:w="1488" w:type="dxa"/>
            <w:tcBorders>
              <w:top w:val="single" w:sz="18" w:space="0" w:color="auto"/>
              <w:bottom w:val="single" w:sz="18" w:space="0" w:color="auto"/>
            </w:tcBorders>
            <w:shd w:val="clear" w:color="auto" w:fill="auto"/>
            <w:vAlign w:val="center"/>
          </w:tcPr>
          <w:p w:rsidR="008A19EF" w:rsidRPr="00E45149" w:rsidRDefault="008A19EF" w:rsidP="00E45149">
            <w:pPr>
              <w:spacing w:line="240" w:lineRule="auto"/>
              <w:jc w:val="center"/>
              <w:rPr>
                <w:b/>
                <w:bCs/>
                <w:color w:val="000000"/>
                <w:sz w:val="20"/>
                <w:szCs w:val="20"/>
              </w:rPr>
            </w:pPr>
            <w:r w:rsidRPr="00E45149">
              <w:rPr>
                <w:b/>
                <w:bCs/>
                <w:color w:val="000000"/>
                <w:sz w:val="20"/>
                <w:szCs w:val="20"/>
              </w:rPr>
              <w:t>Západné Slovensko</w:t>
            </w:r>
          </w:p>
        </w:tc>
        <w:tc>
          <w:tcPr>
            <w:tcW w:w="1488" w:type="dxa"/>
            <w:tcBorders>
              <w:top w:val="single" w:sz="18" w:space="0" w:color="auto"/>
              <w:bottom w:val="single" w:sz="18" w:space="0" w:color="auto"/>
            </w:tcBorders>
            <w:shd w:val="clear" w:color="auto" w:fill="auto"/>
            <w:vAlign w:val="center"/>
          </w:tcPr>
          <w:p w:rsidR="008A19EF" w:rsidRPr="00E45149" w:rsidRDefault="008A19EF" w:rsidP="00E45149">
            <w:pPr>
              <w:spacing w:line="240" w:lineRule="auto"/>
              <w:jc w:val="center"/>
              <w:rPr>
                <w:b/>
                <w:bCs/>
                <w:color w:val="000000"/>
                <w:sz w:val="20"/>
                <w:szCs w:val="20"/>
              </w:rPr>
            </w:pPr>
            <w:r w:rsidRPr="00E45149">
              <w:rPr>
                <w:b/>
                <w:bCs/>
                <w:color w:val="000000"/>
                <w:sz w:val="20"/>
                <w:szCs w:val="20"/>
              </w:rPr>
              <w:t>Stredné Slovensko</w:t>
            </w:r>
          </w:p>
        </w:tc>
        <w:tc>
          <w:tcPr>
            <w:tcW w:w="1488" w:type="dxa"/>
            <w:tcBorders>
              <w:top w:val="single" w:sz="18" w:space="0" w:color="auto"/>
              <w:bottom w:val="single" w:sz="18" w:space="0" w:color="auto"/>
            </w:tcBorders>
            <w:shd w:val="clear" w:color="auto" w:fill="auto"/>
            <w:vAlign w:val="center"/>
          </w:tcPr>
          <w:p w:rsidR="008A19EF" w:rsidRPr="00E45149" w:rsidRDefault="008A19EF" w:rsidP="00E45149">
            <w:pPr>
              <w:spacing w:line="240" w:lineRule="auto"/>
              <w:jc w:val="center"/>
              <w:rPr>
                <w:b/>
                <w:bCs/>
                <w:color w:val="000000"/>
                <w:sz w:val="20"/>
                <w:szCs w:val="20"/>
              </w:rPr>
            </w:pPr>
            <w:r w:rsidRPr="00E45149">
              <w:rPr>
                <w:b/>
                <w:bCs/>
                <w:color w:val="000000"/>
                <w:sz w:val="20"/>
                <w:szCs w:val="20"/>
              </w:rPr>
              <w:t>Východné Slovensko</w:t>
            </w:r>
          </w:p>
        </w:tc>
      </w:tr>
      <w:tr w:rsidR="008A19EF" w:rsidRPr="00344365" w:rsidTr="00E45149">
        <w:trPr>
          <w:trHeight w:val="294"/>
          <w:jc w:val="center"/>
        </w:trPr>
        <w:tc>
          <w:tcPr>
            <w:tcW w:w="2835" w:type="dxa"/>
            <w:tcBorders>
              <w:top w:val="single" w:sz="18" w:space="0" w:color="auto"/>
            </w:tcBorders>
            <w:shd w:val="clear" w:color="auto" w:fill="auto"/>
            <w:noWrap/>
            <w:vAlign w:val="center"/>
            <w:hideMark/>
          </w:tcPr>
          <w:p w:rsidR="008A19EF" w:rsidRPr="00E45149" w:rsidRDefault="008A19EF" w:rsidP="00E45149">
            <w:pPr>
              <w:spacing w:line="240" w:lineRule="auto"/>
              <w:jc w:val="left"/>
              <w:rPr>
                <w:b/>
                <w:bCs/>
                <w:color w:val="000000"/>
                <w:sz w:val="20"/>
                <w:szCs w:val="20"/>
              </w:rPr>
            </w:pPr>
            <w:r w:rsidRPr="00E45149">
              <w:rPr>
                <w:b/>
                <w:bCs/>
                <w:color w:val="000000"/>
                <w:sz w:val="20"/>
                <w:szCs w:val="20"/>
              </w:rPr>
              <w:t>Pôdohospodárstvo, rybolov</w:t>
            </w:r>
          </w:p>
        </w:tc>
        <w:tc>
          <w:tcPr>
            <w:tcW w:w="1488" w:type="dxa"/>
            <w:tcBorders>
              <w:top w:val="single" w:sz="18" w:space="0" w:color="auto"/>
            </w:tcBorders>
            <w:shd w:val="clear" w:color="auto" w:fill="auto"/>
            <w:vAlign w:val="center"/>
          </w:tcPr>
          <w:p w:rsidR="008A19EF" w:rsidRPr="00E45149" w:rsidRDefault="008A19EF" w:rsidP="00E45149">
            <w:pPr>
              <w:spacing w:line="240" w:lineRule="auto"/>
              <w:jc w:val="right"/>
              <w:rPr>
                <w:color w:val="000000"/>
                <w:sz w:val="20"/>
                <w:szCs w:val="20"/>
              </w:rPr>
            </w:pPr>
            <w:r w:rsidRPr="00E45149">
              <w:rPr>
                <w:color w:val="000000"/>
                <w:sz w:val="20"/>
                <w:szCs w:val="20"/>
              </w:rPr>
              <w:t>471 </w:t>
            </w:r>
          </w:p>
        </w:tc>
        <w:tc>
          <w:tcPr>
            <w:tcW w:w="1488" w:type="dxa"/>
            <w:tcBorders>
              <w:top w:val="single" w:sz="18" w:space="0" w:color="auto"/>
            </w:tcBorders>
            <w:shd w:val="clear" w:color="auto" w:fill="auto"/>
            <w:vAlign w:val="center"/>
          </w:tcPr>
          <w:p w:rsidR="008A19EF" w:rsidRPr="00E45149" w:rsidRDefault="008A19EF" w:rsidP="00E45149">
            <w:pPr>
              <w:spacing w:line="240" w:lineRule="auto"/>
              <w:jc w:val="right"/>
              <w:rPr>
                <w:color w:val="000000"/>
                <w:sz w:val="20"/>
                <w:szCs w:val="20"/>
              </w:rPr>
            </w:pPr>
            <w:r w:rsidRPr="00E45149">
              <w:rPr>
                <w:color w:val="000000"/>
                <w:sz w:val="20"/>
                <w:szCs w:val="20"/>
              </w:rPr>
              <w:t>2413 </w:t>
            </w:r>
          </w:p>
        </w:tc>
        <w:tc>
          <w:tcPr>
            <w:tcW w:w="1488" w:type="dxa"/>
            <w:tcBorders>
              <w:top w:val="single" w:sz="18" w:space="0" w:color="auto"/>
            </w:tcBorders>
            <w:shd w:val="clear" w:color="auto" w:fill="auto"/>
            <w:vAlign w:val="center"/>
          </w:tcPr>
          <w:p w:rsidR="008A19EF" w:rsidRPr="00E45149" w:rsidRDefault="008A19EF" w:rsidP="00E45149">
            <w:pPr>
              <w:spacing w:line="240" w:lineRule="auto"/>
              <w:jc w:val="right"/>
              <w:rPr>
                <w:color w:val="000000"/>
                <w:sz w:val="20"/>
                <w:szCs w:val="20"/>
              </w:rPr>
            </w:pPr>
            <w:r w:rsidRPr="00E45149">
              <w:rPr>
                <w:color w:val="000000"/>
                <w:sz w:val="20"/>
                <w:szCs w:val="20"/>
              </w:rPr>
              <w:t>3657 </w:t>
            </w:r>
          </w:p>
        </w:tc>
        <w:tc>
          <w:tcPr>
            <w:tcW w:w="1488" w:type="dxa"/>
            <w:tcBorders>
              <w:top w:val="single" w:sz="18" w:space="0" w:color="auto"/>
            </w:tcBorders>
            <w:shd w:val="clear" w:color="auto" w:fill="auto"/>
            <w:vAlign w:val="center"/>
          </w:tcPr>
          <w:p w:rsidR="008A19EF" w:rsidRPr="00E45149" w:rsidRDefault="008A19EF" w:rsidP="00E45149">
            <w:pPr>
              <w:spacing w:line="240" w:lineRule="auto"/>
              <w:jc w:val="right"/>
              <w:rPr>
                <w:color w:val="000000"/>
                <w:sz w:val="20"/>
                <w:szCs w:val="20"/>
              </w:rPr>
            </w:pPr>
            <w:r w:rsidRPr="00E45149">
              <w:rPr>
                <w:color w:val="000000"/>
                <w:sz w:val="20"/>
                <w:szCs w:val="20"/>
              </w:rPr>
              <w:t>4587 </w:t>
            </w:r>
          </w:p>
        </w:tc>
      </w:tr>
      <w:tr w:rsidR="008A19EF" w:rsidRPr="00344365" w:rsidTr="00E45149">
        <w:trPr>
          <w:trHeight w:val="308"/>
          <w:jc w:val="center"/>
        </w:trPr>
        <w:tc>
          <w:tcPr>
            <w:tcW w:w="2835" w:type="dxa"/>
            <w:shd w:val="clear" w:color="auto" w:fill="auto"/>
            <w:noWrap/>
            <w:vAlign w:val="center"/>
            <w:hideMark/>
          </w:tcPr>
          <w:p w:rsidR="008A19EF" w:rsidRPr="00E45149" w:rsidRDefault="008A19EF" w:rsidP="00E45149">
            <w:pPr>
              <w:spacing w:line="240" w:lineRule="auto"/>
              <w:jc w:val="left"/>
              <w:rPr>
                <w:b/>
                <w:bCs/>
                <w:color w:val="000000"/>
                <w:sz w:val="20"/>
                <w:szCs w:val="20"/>
              </w:rPr>
            </w:pPr>
            <w:r w:rsidRPr="00E45149">
              <w:rPr>
                <w:b/>
                <w:bCs/>
                <w:color w:val="000000"/>
                <w:sz w:val="20"/>
                <w:szCs w:val="20"/>
              </w:rPr>
              <w:t>Priemysel</w:t>
            </w:r>
          </w:p>
        </w:tc>
        <w:tc>
          <w:tcPr>
            <w:tcW w:w="1488" w:type="dxa"/>
            <w:shd w:val="clear" w:color="auto" w:fill="auto"/>
            <w:vAlign w:val="center"/>
          </w:tcPr>
          <w:p w:rsidR="008A19EF" w:rsidRPr="00E45149" w:rsidRDefault="008A19EF" w:rsidP="00E45149">
            <w:pPr>
              <w:spacing w:line="240" w:lineRule="auto"/>
              <w:jc w:val="right"/>
              <w:rPr>
                <w:color w:val="000000"/>
                <w:sz w:val="20"/>
                <w:szCs w:val="20"/>
              </w:rPr>
            </w:pPr>
            <w:r w:rsidRPr="00E45149">
              <w:rPr>
                <w:color w:val="000000"/>
                <w:sz w:val="20"/>
                <w:szCs w:val="20"/>
              </w:rPr>
              <w:t>6629 </w:t>
            </w:r>
          </w:p>
        </w:tc>
        <w:tc>
          <w:tcPr>
            <w:tcW w:w="1488" w:type="dxa"/>
            <w:shd w:val="clear" w:color="auto" w:fill="auto"/>
            <w:vAlign w:val="center"/>
          </w:tcPr>
          <w:p w:rsidR="008A19EF" w:rsidRPr="00E45149" w:rsidRDefault="008A19EF" w:rsidP="00E45149">
            <w:pPr>
              <w:spacing w:line="240" w:lineRule="auto"/>
              <w:jc w:val="right"/>
              <w:rPr>
                <w:color w:val="000000"/>
                <w:sz w:val="20"/>
                <w:szCs w:val="20"/>
              </w:rPr>
            </w:pPr>
            <w:r w:rsidRPr="00E45149">
              <w:rPr>
                <w:color w:val="000000"/>
                <w:sz w:val="20"/>
                <w:szCs w:val="20"/>
              </w:rPr>
              <w:t>23830 </w:t>
            </w:r>
          </w:p>
        </w:tc>
        <w:tc>
          <w:tcPr>
            <w:tcW w:w="1488" w:type="dxa"/>
            <w:shd w:val="clear" w:color="auto" w:fill="auto"/>
            <w:vAlign w:val="center"/>
          </w:tcPr>
          <w:p w:rsidR="008A19EF" w:rsidRPr="00E45149" w:rsidRDefault="008A19EF" w:rsidP="00E45149">
            <w:pPr>
              <w:spacing w:line="240" w:lineRule="auto"/>
              <w:jc w:val="right"/>
              <w:rPr>
                <w:color w:val="000000"/>
                <w:sz w:val="20"/>
                <w:szCs w:val="20"/>
              </w:rPr>
            </w:pPr>
            <w:r w:rsidRPr="00E45149">
              <w:rPr>
                <w:color w:val="000000"/>
                <w:sz w:val="20"/>
                <w:szCs w:val="20"/>
              </w:rPr>
              <w:t>18883 </w:t>
            </w:r>
          </w:p>
        </w:tc>
        <w:tc>
          <w:tcPr>
            <w:tcW w:w="1488" w:type="dxa"/>
            <w:shd w:val="clear" w:color="auto" w:fill="auto"/>
            <w:vAlign w:val="center"/>
          </w:tcPr>
          <w:p w:rsidR="008A19EF" w:rsidRPr="00E45149" w:rsidRDefault="008A19EF" w:rsidP="00E45149">
            <w:pPr>
              <w:spacing w:line="240" w:lineRule="auto"/>
              <w:jc w:val="right"/>
              <w:rPr>
                <w:color w:val="000000"/>
                <w:sz w:val="20"/>
                <w:szCs w:val="20"/>
              </w:rPr>
            </w:pPr>
            <w:r w:rsidRPr="00E45149">
              <w:rPr>
                <w:color w:val="000000"/>
                <w:sz w:val="20"/>
                <w:szCs w:val="20"/>
              </w:rPr>
              <w:t>17682 </w:t>
            </w:r>
          </w:p>
        </w:tc>
      </w:tr>
      <w:tr w:rsidR="008A19EF" w:rsidRPr="00344365" w:rsidTr="00E45149">
        <w:trPr>
          <w:trHeight w:val="308"/>
          <w:jc w:val="center"/>
        </w:trPr>
        <w:tc>
          <w:tcPr>
            <w:tcW w:w="2835" w:type="dxa"/>
            <w:shd w:val="clear" w:color="auto" w:fill="auto"/>
            <w:noWrap/>
            <w:vAlign w:val="center"/>
            <w:hideMark/>
          </w:tcPr>
          <w:p w:rsidR="008A19EF" w:rsidRPr="00E45149" w:rsidRDefault="008A19EF" w:rsidP="00E45149">
            <w:pPr>
              <w:spacing w:line="240" w:lineRule="auto"/>
              <w:jc w:val="left"/>
              <w:rPr>
                <w:b/>
                <w:bCs/>
                <w:color w:val="000000"/>
                <w:sz w:val="20"/>
                <w:szCs w:val="20"/>
              </w:rPr>
            </w:pPr>
            <w:r w:rsidRPr="00E45149">
              <w:rPr>
                <w:b/>
                <w:bCs/>
                <w:color w:val="000000"/>
                <w:sz w:val="20"/>
                <w:szCs w:val="20"/>
              </w:rPr>
              <w:t>Stavebníctvo</w:t>
            </w:r>
          </w:p>
        </w:tc>
        <w:tc>
          <w:tcPr>
            <w:tcW w:w="1488" w:type="dxa"/>
            <w:shd w:val="clear" w:color="auto" w:fill="auto"/>
            <w:vAlign w:val="center"/>
          </w:tcPr>
          <w:p w:rsidR="008A19EF" w:rsidRPr="00E45149" w:rsidRDefault="008A19EF" w:rsidP="00E45149">
            <w:pPr>
              <w:spacing w:line="240" w:lineRule="auto"/>
              <w:jc w:val="right"/>
              <w:rPr>
                <w:color w:val="000000"/>
                <w:sz w:val="20"/>
                <w:szCs w:val="20"/>
              </w:rPr>
            </w:pPr>
            <w:r w:rsidRPr="00E45149">
              <w:rPr>
                <w:color w:val="000000"/>
                <w:sz w:val="20"/>
                <w:szCs w:val="20"/>
              </w:rPr>
              <w:t>6481 </w:t>
            </w:r>
          </w:p>
        </w:tc>
        <w:tc>
          <w:tcPr>
            <w:tcW w:w="1488" w:type="dxa"/>
            <w:shd w:val="clear" w:color="auto" w:fill="auto"/>
            <w:vAlign w:val="center"/>
          </w:tcPr>
          <w:p w:rsidR="008A19EF" w:rsidRPr="00E45149" w:rsidRDefault="008A19EF" w:rsidP="00E45149">
            <w:pPr>
              <w:spacing w:line="240" w:lineRule="auto"/>
              <w:jc w:val="right"/>
              <w:rPr>
                <w:color w:val="000000"/>
                <w:sz w:val="20"/>
                <w:szCs w:val="20"/>
              </w:rPr>
            </w:pPr>
            <w:r w:rsidRPr="00E45149">
              <w:rPr>
                <w:color w:val="000000"/>
                <w:sz w:val="20"/>
                <w:szCs w:val="20"/>
              </w:rPr>
              <w:t>26670 </w:t>
            </w:r>
          </w:p>
        </w:tc>
        <w:tc>
          <w:tcPr>
            <w:tcW w:w="1488" w:type="dxa"/>
            <w:shd w:val="clear" w:color="auto" w:fill="auto"/>
            <w:vAlign w:val="center"/>
          </w:tcPr>
          <w:p w:rsidR="008A19EF" w:rsidRPr="00E45149" w:rsidRDefault="008A19EF" w:rsidP="00E45149">
            <w:pPr>
              <w:spacing w:line="240" w:lineRule="auto"/>
              <w:jc w:val="right"/>
              <w:rPr>
                <w:color w:val="000000"/>
                <w:sz w:val="20"/>
                <w:szCs w:val="20"/>
              </w:rPr>
            </w:pPr>
            <w:r w:rsidRPr="00E45149">
              <w:rPr>
                <w:color w:val="000000"/>
                <w:sz w:val="20"/>
                <w:szCs w:val="20"/>
              </w:rPr>
              <w:t>19442 </w:t>
            </w:r>
          </w:p>
        </w:tc>
        <w:tc>
          <w:tcPr>
            <w:tcW w:w="1488" w:type="dxa"/>
            <w:shd w:val="clear" w:color="auto" w:fill="auto"/>
            <w:vAlign w:val="center"/>
          </w:tcPr>
          <w:p w:rsidR="008A19EF" w:rsidRPr="00E45149" w:rsidRDefault="008A19EF" w:rsidP="00E45149">
            <w:pPr>
              <w:spacing w:line="240" w:lineRule="auto"/>
              <w:jc w:val="right"/>
              <w:rPr>
                <w:color w:val="000000"/>
                <w:sz w:val="20"/>
                <w:szCs w:val="20"/>
              </w:rPr>
            </w:pPr>
            <w:r w:rsidRPr="00E45149">
              <w:rPr>
                <w:color w:val="000000"/>
                <w:sz w:val="20"/>
                <w:szCs w:val="20"/>
              </w:rPr>
              <w:t>15639 </w:t>
            </w:r>
          </w:p>
        </w:tc>
      </w:tr>
      <w:tr w:rsidR="008A19EF" w:rsidRPr="00344365" w:rsidTr="00E45149">
        <w:trPr>
          <w:trHeight w:val="308"/>
          <w:jc w:val="center"/>
        </w:trPr>
        <w:tc>
          <w:tcPr>
            <w:tcW w:w="2835" w:type="dxa"/>
            <w:shd w:val="clear" w:color="auto" w:fill="auto"/>
            <w:noWrap/>
            <w:vAlign w:val="center"/>
            <w:hideMark/>
          </w:tcPr>
          <w:p w:rsidR="008A19EF" w:rsidRPr="00E45149" w:rsidRDefault="008A19EF" w:rsidP="00E45149">
            <w:pPr>
              <w:spacing w:line="240" w:lineRule="auto"/>
              <w:jc w:val="left"/>
              <w:rPr>
                <w:b/>
                <w:bCs/>
                <w:color w:val="000000"/>
                <w:sz w:val="20"/>
                <w:szCs w:val="20"/>
              </w:rPr>
            </w:pPr>
            <w:r w:rsidRPr="00E45149">
              <w:rPr>
                <w:b/>
                <w:bCs/>
                <w:color w:val="000000"/>
                <w:sz w:val="20"/>
                <w:szCs w:val="20"/>
              </w:rPr>
              <w:t>Obchod</w:t>
            </w:r>
          </w:p>
        </w:tc>
        <w:tc>
          <w:tcPr>
            <w:tcW w:w="1488" w:type="dxa"/>
            <w:shd w:val="clear" w:color="auto" w:fill="auto"/>
            <w:vAlign w:val="center"/>
          </w:tcPr>
          <w:p w:rsidR="008A19EF" w:rsidRPr="00E45149" w:rsidRDefault="008A19EF" w:rsidP="00E45149">
            <w:pPr>
              <w:spacing w:line="240" w:lineRule="auto"/>
              <w:jc w:val="right"/>
              <w:rPr>
                <w:color w:val="000000"/>
                <w:sz w:val="20"/>
                <w:szCs w:val="20"/>
              </w:rPr>
            </w:pPr>
            <w:r w:rsidRPr="00E45149">
              <w:rPr>
                <w:color w:val="000000"/>
                <w:sz w:val="20"/>
                <w:szCs w:val="20"/>
              </w:rPr>
              <w:t>19431 </w:t>
            </w:r>
          </w:p>
        </w:tc>
        <w:tc>
          <w:tcPr>
            <w:tcW w:w="1488" w:type="dxa"/>
            <w:shd w:val="clear" w:color="auto" w:fill="auto"/>
            <w:vAlign w:val="center"/>
          </w:tcPr>
          <w:p w:rsidR="008A19EF" w:rsidRPr="00E45149" w:rsidRDefault="008A19EF" w:rsidP="00E45149">
            <w:pPr>
              <w:spacing w:line="240" w:lineRule="auto"/>
              <w:jc w:val="right"/>
              <w:rPr>
                <w:color w:val="000000"/>
                <w:sz w:val="20"/>
                <w:szCs w:val="20"/>
              </w:rPr>
            </w:pPr>
            <w:r w:rsidRPr="00E45149">
              <w:rPr>
                <w:color w:val="000000"/>
                <w:sz w:val="20"/>
                <w:szCs w:val="20"/>
              </w:rPr>
              <w:t>40878 </w:t>
            </w:r>
          </w:p>
        </w:tc>
        <w:tc>
          <w:tcPr>
            <w:tcW w:w="1488" w:type="dxa"/>
            <w:shd w:val="clear" w:color="auto" w:fill="auto"/>
            <w:vAlign w:val="center"/>
          </w:tcPr>
          <w:p w:rsidR="008A19EF" w:rsidRPr="00E45149" w:rsidRDefault="008A19EF" w:rsidP="00E45149">
            <w:pPr>
              <w:spacing w:line="240" w:lineRule="auto"/>
              <w:jc w:val="right"/>
              <w:rPr>
                <w:color w:val="000000"/>
                <w:sz w:val="20"/>
                <w:szCs w:val="20"/>
              </w:rPr>
            </w:pPr>
            <w:r w:rsidRPr="00E45149">
              <w:rPr>
                <w:color w:val="000000"/>
                <w:sz w:val="20"/>
                <w:szCs w:val="20"/>
              </w:rPr>
              <w:t>27622 </w:t>
            </w:r>
          </w:p>
        </w:tc>
        <w:tc>
          <w:tcPr>
            <w:tcW w:w="1488" w:type="dxa"/>
            <w:shd w:val="clear" w:color="auto" w:fill="auto"/>
            <w:vAlign w:val="center"/>
          </w:tcPr>
          <w:p w:rsidR="008A19EF" w:rsidRPr="00E45149" w:rsidRDefault="008A19EF" w:rsidP="00E45149">
            <w:pPr>
              <w:spacing w:line="240" w:lineRule="auto"/>
              <w:jc w:val="right"/>
              <w:rPr>
                <w:color w:val="000000"/>
                <w:sz w:val="20"/>
                <w:szCs w:val="20"/>
              </w:rPr>
            </w:pPr>
            <w:r w:rsidRPr="00E45149">
              <w:rPr>
                <w:color w:val="000000"/>
                <w:sz w:val="20"/>
                <w:szCs w:val="20"/>
              </w:rPr>
              <w:t>28320 </w:t>
            </w:r>
          </w:p>
        </w:tc>
      </w:tr>
      <w:tr w:rsidR="008A19EF" w:rsidRPr="00344365" w:rsidTr="00E45149">
        <w:trPr>
          <w:trHeight w:val="308"/>
          <w:jc w:val="center"/>
        </w:trPr>
        <w:tc>
          <w:tcPr>
            <w:tcW w:w="2835" w:type="dxa"/>
            <w:shd w:val="clear" w:color="auto" w:fill="auto"/>
            <w:noWrap/>
            <w:vAlign w:val="center"/>
            <w:hideMark/>
          </w:tcPr>
          <w:p w:rsidR="008A19EF" w:rsidRPr="00E45149" w:rsidRDefault="008A19EF" w:rsidP="00E45149">
            <w:pPr>
              <w:spacing w:line="240" w:lineRule="auto"/>
              <w:jc w:val="left"/>
              <w:rPr>
                <w:b/>
                <w:bCs/>
                <w:color w:val="000000"/>
                <w:sz w:val="20"/>
                <w:szCs w:val="20"/>
              </w:rPr>
            </w:pPr>
            <w:r w:rsidRPr="00E45149">
              <w:rPr>
                <w:b/>
                <w:bCs/>
                <w:color w:val="000000"/>
                <w:sz w:val="20"/>
                <w:szCs w:val="20"/>
              </w:rPr>
              <w:t>Hotely, reštaurácie</w:t>
            </w:r>
          </w:p>
        </w:tc>
        <w:tc>
          <w:tcPr>
            <w:tcW w:w="1488" w:type="dxa"/>
            <w:shd w:val="clear" w:color="auto" w:fill="auto"/>
            <w:vAlign w:val="center"/>
          </w:tcPr>
          <w:p w:rsidR="008A19EF" w:rsidRPr="00E45149" w:rsidRDefault="008A19EF" w:rsidP="00E45149">
            <w:pPr>
              <w:spacing w:line="240" w:lineRule="auto"/>
              <w:jc w:val="right"/>
              <w:rPr>
                <w:color w:val="000000"/>
                <w:sz w:val="20"/>
                <w:szCs w:val="20"/>
              </w:rPr>
            </w:pPr>
            <w:r w:rsidRPr="00E45149">
              <w:rPr>
                <w:color w:val="000000"/>
                <w:sz w:val="20"/>
                <w:szCs w:val="20"/>
              </w:rPr>
              <w:t>2477 </w:t>
            </w:r>
          </w:p>
        </w:tc>
        <w:tc>
          <w:tcPr>
            <w:tcW w:w="1488" w:type="dxa"/>
            <w:shd w:val="clear" w:color="auto" w:fill="auto"/>
            <w:vAlign w:val="center"/>
          </w:tcPr>
          <w:p w:rsidR="008A19EF" w:rsidRPr="00E45149" w:rsidRDefault="008A19EF" w:rsidP="00E45149">
            <w:pPr>
              <w:spacing w:line="240" w:lineRule="auto"/>
              <w:jc w:val="right"/>
              <w:rPr>
                <w:color w:val="000000"/>
                <w:sz w:val="20"/>
                <w:szCs w:val="20"/>
              </w:rPr>
            </w:pPr>
            <w:r w:rsidRPr="00E45149">
              <w:rPr>
                <w:color w:val="000000"/>
                <w:sz w:val="20"/>
                <w:szCs w:val="20"/>
              </w:rPr>
              <w:t>5325 </w:t>
            </w:r>
          </w:p>
        </w:tc>
        <w:tc>
          <w:tcPr>
            <w:tcW w:w="1488" w:type="dxa"/>
            <w:shd w:val="clear" w:color="auto" w:fill="auto"/>
            <w:vAlign w:val="center"/>
          </w:tcPr>
          <w:p w:rsidR="008A19EF" w:rsidRPr="00E45149" w:rsidRDefault="008A19EF" w:rsidP="00E45149">
            <w:pPr>
              <w:spacing w:line="240" w:lineRule="auto"/>
              <w:jc w:val="right"/>
              <w:rPr>
                <w:color w:val="000000"/>
                <w:sz w:val="20"/>
                <w:szCs w:val="20"/>
              </w:rPr>
            </w:pPr>
            <w:r w:rsidRPr="00E45149">
              <w:rPr>
                <w:color w:val="000000"/>
                <w:sz w:val="20"/>
                <w:szCs w:val="20"/>
              </w:rPr>
              <w:t>4202 </w:t>
            </w:r>
          </w:p>
        </w:tc>
        <w:tc>
          <w:tcPr>
            <w:tcW w:w="1488" w:type="dxa"/>
            <w:shd w:val="clear" w:color="auto" w:fill="auto"/>
            <w:vAlign w:val="center"/>
          </w:tcPr>
          <w:p w:rsidR="008A19EF" w:rsidRPr="00E45149" w:rsidRDefault="008A19EF" w:rsidP="00E45149">
            <w:pPr>
              <w:spacing w:line="240" w:lineRule="auto"/>
              <w:jc w:val="right"/>
              <w:rPr>
                <w:color w:val="000000"/>
                <w:sz w:val="20"/>
                <w:szCs w:val="20"/>
              </w:rPr>
            </w:pPr>
            <w:r w:rsidRPr="00E45149">
              <w:rPr>
                <w:color w:val="000000"/>
                <w:sz w:val="20"/>
                <w:szCs w:val="20"/>
              </w:rPr>
              <w:t>3436 </w:t>
            </w:r>
          </w:p>
        </w:tc>
      </w:tr>
      <w:tr w:rsidR="008A19EF" w:rsidRPr="00344365" w:rsidTr="00E45149">
        <w:trPr>
          <w:trHeight w:val="308"/>
          <w:jc w:val="center"/>
        </w:trPr>
        <w:tc>
          <w:tcPr>
            <w:tcW w:w="2835" w:type="dxa"/>
            <w:shd w:val="clear" w:color="auto" w:fill="auto"/>
            <w:noWrap/>
            <w:vAlign w:val="center"/>
            <w:hideMark/>
          </w:tcPr>
          <w:p w:rsidR="008A19EF" w:rsidRPr="00E45149" w:rsidRDefault="008A19EF" w:rsidP="00E45149">
            <w:pPr>
              <w:spacing w:line="240" w:lineRule="auto"/>
              <w:jc w:val="left"/>
              <w:rPr>
                <w:b/>
                <w:bCs/>
                <w:color w:val="000000"/>
                <w:sz w:val="20"/>
                <w:szCs w:val="20"/>
              </w:rPr>
            </w:pPr>
            <w:r w:rsidRPr="00E45149">
              <w:rPr>
                <w:b/>
                <w:bCs/>
                <w:color w:val="000000"/>
                <w:sz w:val="20"/>
                <w:szCs w:val="20"/>
              </w:rPr>
              <w:t>Doprava, skladovanie, pošty a telekomunikácie</w:t>
            </w:r>
          </w:p>
        </w:tc>
        <w:tc>
          <w:tcPr>
            <w:tcW w:w="1488" w:type="dxa"/>
            <w:shd w:val="clear" w:color="auto" w:fill="auto"/>
            <w:vAlign w:val="center"/>
          </w:tcPr>
          <w:p w:rsidR="008A19EF" w:rsidRPr="00E45149" w:rsidRDefault="008A19EF" w:rsidP="00E45149">
            <w:pPr>
              <w:spacing w:line="240" w:lineRule="auto"/>
              <w:jc w:val="right"/>
              <w:rPr>
                <w:color w:val="000000"/>
                <w:sz w:val="20"/>
                <w:szCs w:val="20"/>
              </w:rPr>
            </w:pPr>
            <w:r w:rsidRPr="00E45149">
              <w:rPr>
                <w:color w:val="000000"/>
                <w:sz w:val="20"/>
                <w:szCs w:val="20"/>
              </w:rPr>
              <w:t>3796 </w:t>
            </w:r>
          </w:p>
        </w:tc>
        <w:tc>
          <w:tcPr>
            <w:tcW w:w="1488" w:type="dxa"/>
            <w:shd w:val="clear" w:color="auto" w:fill="auto"/>
            <w:vAlign w:val="center"/>
          </w:tcPr>
          <w:p w:rsidR="008A19EF" w:rsidRPr="00E45149" w:rsidRDefault="008A19EF" w:rsidP="00E45149">
            <w:pPr>
              <w:spacing w:line="240" w:lineRule="auto"/>
              <w:jc w:val="right"/>
              <w:rPr>
                <w:color w:val="000000"/>
                <w:sz w:val="20"/>
                <w:szCs w:val="20"/>
              </w:rPr>
            </w:pPr>
            <w:r w:rsidRPr="00E45149">
              <w:rPr>
                <w:color w:val="000000"/>
                <w:sz w:val="20"/>
                <w:szCs w:val="20"/>
              </w:rPr>
              <w:t>5158 </w:t>
            </w:r>
          </w:p>
        </w:tc>
        <w:tc>
          <w:tcPr>
            <w:tcW w:w="1488" w:type="dxa"/>
            <w:shd w:val="clear" w:color="auto" w:fill="auto"/>
            <w:vAlign w:val="center"/>
          </w:tcPr>
          <w:p w:rsidR="008A19EF" w:rsidRPr="00E45149" w:rsidRDefault="008A19EF" w:rsidP="00E45149">
            <w:pPr>
              <w:spacing w:line="240" w:lineRule="auto"/>
              <w:jc w:val="right"/>
              <w:rPr>
                <w:color w:val="000000"/>
                <w:sz w:val="20"/>
                <w:szCs w:val="20"/>
              </w:rPr>
            </w:pPr>
            <w:r w:rsidRPr="00E45149">
              <w:rPr>
                <w:color w:val="000000"/>
                <w:sz w:val="20"/>
                <w:szCs w:val="20"/>
              </w:rPr>
              <w:t>3138 </w:t>
            </w:r>
          </w:p>
        </w:tc>
        <w:tc>
          <w:tcPr>
            <w:tcW w:w="1488" w:type="dxa"/>
            <w:shd w:val="clear" w:color="auto" w:fill="auto"/>
            <w:vAlign w:val="center"/>
          </w:tcPr>
          <w:p w:rsidR="008A19EF" w:rsidRPr="00E45149" w:rsidRDefault="008A19EF" w:rsidP="00E45149">
            <w:pPr>
              <w:spacing w:line="240" w:lineRule="auto"/>
              <w:jc w:val="right"/>
              <w:rPr>
                <w:color w:val="000000"/>
                <w:sz w:val="20"/>
                <w:szCs w:val="20"/>
              </w:rPr>
            </w:pPr>
            <w:r w:rsidRPr="00E45149">
              <w:rPr>
                <w:color w:val="000000"/>
                <w:sz w:val="20"/>
                <w:szCs w:val="20"/>
              </w:rPr>
              <w:t>2986 </w:t>
            </w:r>
          </w:p>
        </w:tc>
      </w:tr>
      <w:tr w:rsidR="008A19EF" w:rsidRPr="00344365" w:rsidTr="00E45149">
        <w:trPr>
          <w:trHeight w:val="294"/>
          <w:jc w:val="center"/>
        </w:trPr>
        <w:tc>
          <w:tcPr>
            <w:tcW w:w="2835" w:type="dxa"/>
            <w:shd w:val="clear" w:color="auto" w:fill="auto"/>
            <w:noWrap/>
            <w:vAlign w:val="center"/>
            <w:hideMark/>
          </w:tcPr>
          <w:p w:rsidR="008A19EF" w:rsidRPr="00E45149" w:rsidRDefault="008A19EF" w:rsidP="00E45149">
            <w:pPr>
              <w:spacing w:line="240" w:lineRule="auto"/>
              <w:jc w:val="left"/>
              <w:rPr>
                <w:b/>
                <w:bCs/>
                <w:color w:val="000000"/>
                <w:sz w:val="20"/>
                <w:szCs w:val="20"/>
              </w:rPr>
            </w:pPr>
            <w:r w:rsidRPr="00E45149">
              <w:rPr>
                <w:b/>
                <w:bCs/>
                <w:color w:val="000000"/>
                <w:sz w:val="20"/>
                <w:szCs w:val="20"/>
              </w:rPr>
              <w:t>Finančné sprostredkovanie</w:t>
            </w:r>
          </w:p>
        </w:tc>
        <w:tc>
          <w:tcPr>
            <w:tcW w:w="1488" w:type="dxa"/>
            <w:shd w:val="clear" w:color="auto" w:fill="auto"/>
            <w:vAlign w:val="center"/>
          </w:tcPr>
          <w:p w:rsidR="008A19EF" w:rsidRPr="00E45149" w:rsidRDefault="008A19EF" w:rsidP="00E45149">
            <w:pPr>
              <w:spacing w:line="240" w:lineRule="auto"/>
              <w:jc w:val="right"/>
              <w:rPr>
                <w:color w:val="000000"/>
                <w:sz w:val="20"/>
                <w:szCs w:val="20"/>
              </w:rPr>
            </w:pPr>
            <w:r w:rsidRPr="00E45149">
              <w:rPr>
                <w:color w:val="000000"/>
                <w:sz w:val="20"/>
                <w:szCs w:val="20"/>
              </w:rPr>
              <w:t>464 </w:t>
            </w:r>
          </w:p>
        </w:tc>
        <w:tc>
          <w:tcPr>
            <w:tcW w:w="1488" w:type="dxa"/>
            <w:shd w:val="clear" w:color="auto" w:fill="auto"/>
            <w:vAlign w:val="center"/>
          </w:tcPr>
          <w:p w:rsidR="008A19EF" w:rsidRPr="00E45149" w:rsidRDefault="008A19EF" w:rsidP="00E45149">
            <w:pPr>
              <w:spacing w:line="240" w:lineRule="auto"/>
              <w:jc w:val="right"/>
              <w:rPr>
                <w:color w:val="000000"/>
                <w:sz w:val="20"/>
                <w:szCs w:val="20"/>
              </w:rPr>
            </w:pPr>
            <w:r w:rsidRPr="00E45149">
              <w:rPr>
                <w:color w:val="000000"/>
                <w:sz w:val="20"/>
                <w:szCs w:val="20"/>
              </w:rPr>
              <w:t>578 </w:t>
            </w:r>
          </w:p>
        </w:tc>
        <w:tc>
          <w:tcPr>
            <w:tcW w:w="1488" w:type="dxa"/>
            <w:shd w:val="clear" w:color="auto" w:fill="auto"/>
            <w:vAlign w:val="center"/>
          </w:tcPr>
          <w:p w:rsidR="008A19EF" w:rsidRPr="00E45149" w:rsidRDefault="008A19EF" w:rsidP="00E45149">
            <w:pPr>
              <w:spacing w:line="240" w:lineRule="auto"/>
              <w:jc w:val="right"/>
              <w:rPr>
                <w:color w:val="000000"/>
                <w:sz w:val="20"/>
                <w:szCs w:val="20"/>
              </w:rPr>
            </w:pPr>
            <w:r w:rsidRPr="00E45149">
              <w:rPr>
                <w:color w:val="000000"/>
                <w:sz w:val="20"/>
                <w:szCs w:val="20"/>
              </w:rPr>
              <w:t>548 </w:t>
            </w:r>
          </w:p>
        </w:tc>
        <w:tc>
          <w:tcPr>
            <w:tcW w:w="1488" w:type="dxa"/>
            <w:shd w:val="clear" w:color="auto" w:fill="auto"/>
            <w:vAlign w:val="center"/>
          </w:tcPr>
          <w:p w:rsidR="008A19EF" w:rsidRPr="00E45149" w:rsidRDefault="008A19EF" w:rsidP="00E45149">
            <w:pPr>
              <w:spacing w:line="240" w:lineRule="auto"/>
              <w:jc w:val="right"/>
              <w:rPr>
                <w:color w:val="000000"/>
                <w:sz w:val="20"/>
                <w:szCs w:val="20"/>
              </w:rPr>
            </w:pPr>
            <w:r w:rsidRPr="00E45149">
              <w:rPr>
                <w:color w:val="000000"/>
                <w:sz w:val="20"/>
                <w:szCs w:val="20"/>
              </w:rPr>
              <w:t>774 </w:t>
            </w:r>
          </w:p>
        </w:tc>
      </w:tr>
      <w:tr w:rsidR="008A19EF" w:rsidRPr="00344365" w:rsidTr="00E45149">
        <w:trPr>
          <w:trHeight w:val="308"/>
          <w:jc w:val="center"/>
        </w:trPr>
        <w:tc>
          <w:tcPr>
            <w:tcW w:w="2835" w:type="dxa"/>
            <w:shd w:val="clear" w:color="auto" w:fill="auto"/>
            <w:noWrap/>
            <w:vAlign w:val="center"/>
            <w:hideMark/>
          </w:tcPr>
          <w:p w:rsidR="008A19EF" w:rsidRPr="00E45149" w:rsidRDefault="008A19EF" w:rsidP="00E45149">
            <w:pPr>
              <w:spacing w:line="240" w:lineRule="auto"/>
              <w:jc w:val="left"/>
              <w:rPr>
                <w:b/>
                <w:bCs/>
                <w:color w:val="000000"/>
                <w:sz w:val="20"/>
                <w:szCs w:val="20"/>
              </w:rPr>
            </w:pPr>
            <w:r w:rsidRPr="00E45149">
              <w:rPr>
                <w:b/>
                <w:bCs/>
                <w:color w:val="000000"/>
                <w:sz w:val="20"/>
                <w:szCs w:val="20"/>
              </w:rPr>
              <w:t>Nehnuteľnosti</w:t>
            </w:r>
            <w:r w:rsidR="00E45149">
              <w:rPr>
                <w:b/>
                <w:bCs/>
                <w:color w:val="000000"/>
                <w:sz w:val="20"/>
                <w:szCs w:val="20"/>
              </w:rPr>
              <w:t xml:space="preserve">, </w:t>
            </w:r>
            <w:r w:rsidRPr="00E45149">
              <w:rPr>
                <w:b/>
                <w:bCs/>
                <w:color w:val="000000"/>
                <w:sz w:val="20"/>
                <w:szCs w:val="20"/>
              </w:rPr>
              <w:t>prenájom, obchodné činnosti</w:t>
            </w:r>
          </w:p>
        </w:tc>
        <w:tc>
          <w:tcPr>
            <w:tcW w:w="1488" w:type="dxa"/>
            <w:shd w:val="clear" w:color="auto" w:fill="auto"/>
            <w:vAlign w:val="center"/>
          </w:tcPr>
          <w:p w:rsidR="008A19EF" w:rsidRPr="00E45149" w:rsidRDefault="008A19EF" w:rsidP="00E45149">
            <w:pPr>
              <w:spacing w:line="240" w:lineRule="auto"/>
              <w:jc w:val="right"/>
              <w:rPr>
                <w:color w:val="000000"/>
                <w:sz w:val="20"/>
                <w:szCs w:val="20"/>
              </w:rPr>
            </w:pPr>
            <w:r w:rsidRPr="00E45149">
              <w:rPr>
                <w:color w:val="000000"/>
                <w:sz w:val="20"/>
                <w:szCs w:val="20"/>
              </w:rPr>
              <w:t>14640 </w:t>
            </w:r>
          </w:p>
        </w:tc>
        <w:tc>
          <w:tcPr>
            <w:tcW w:w="1488" w:type="dxa"/>
            <w:shd w:val="clear" w:color="auto" w:fill="auto"/>
            <w:vAlign w:val="center"/>
          </w:tcPr>
          <w:p w:rsidR="008A19EF" w:rsidRPr="00E45149" w:rsidRDefault="008A19EF" w:rsidP="00E45149">
            <w:pPr>
              <w:spacing w:line="240" w:lineRule="auto"/>
              <w:jc w:val="right"/>
              <w:rPr>
                <w:color w:val="000000"/>
                <w:sz w:val="20"/>
                <w:szCs w:val="20"/>
              </w:rPr>
            </w:pPr>
            <w:r w:rsidRPr="00E45149">
              <w:rPr>
                <w:color w:val="000000"/>
                <w:sz w:val="20"/>
                <w:szCs w:val="20"/>
              </w:rPr>
              <w:t>14209 </w:t>
            </w:r>
          </w:p>
        </w:tc>
        <w:tc>
          <w:tcPr>
            <w:tcW w:w="1488" w:type="dxa"/>
            <w:shd w:val="clear" w:color="auto" w:fill="auto"/>
            <w:vAlign w:val="center"/>
          </w:tcPr>
          <w:p w:rsidR="008A19EF" w:rsidRPr="00E45149" w:rsidRDefault="008A19EF" w:rsidP="00E45149">
            <w:pPr>
              <w:spacing w:line="240" w:lineRule="auto"/>
              <w:jc w:val="right"/>
              <w:rPr>
                <w:color w:val="000000"/>
                <w:sz w:val="20"/>
                <w:szCs w:val="20"/>
              </w:rPr>
            </w:pPr>
            <w:r w:rsidRPr="00E45149">
              <w:rPr>
                <w:color w:val="000000"/>
                <w:sz w:val="20"/>
                <w:szCs w:val="20"/>
              </w:rPr>
              <w:t>9398</w:t>
            </w:r>
          </w:p>
        </w:tc>
        <w:tc>
          <w:tcPr>
            <w:tcW w:w="1488" w:type="dxa"/>
            <w:shd w:val="clear" w:color="auto" w:fill="auto"/>
            <w:vAlign w:val="center"/>
          </w:tcPr>
          <w:p w:rsidR="008A19EF" w:rsidRPr="00E45149" w:rsidRDefault="008A19EF" w:rsidP="00E45149">
            <w:pPr>
              <w:spacing w:line="240" w:lineRule="auto"/>
              <w:jc w:val="right"/>
              <w:rPr>
                <w:color w:val="000000"/>
                <w:sz w:val="20"/>
                <w:szCs w:val="20"/>
              </w:rPr>
            </w:pPr>
            <w:r w:rsidRPr="00E45149">
              <w:rPr>
                <w:color w:val="000000"/>
                <w:sz w:val="20"/>
                <w:szCs w:val="20"/>
              </w:rPr>
              <w:t>9889 </w:t>
            </w:r>
          </w:p>
        </w:tc>
      </w:tr>
      <w:tr w:rsidR="008A19EF" w:rsidRPr="00344365" w:rsidTr="00E45149">
        <w:trPr>
          <w:trHeight w:val="294"/>
          <w:jc w:val="center"/>
        </w:trPr>
        <w:tc>
          <w:tcPr>
            <w:tcW w:w="2835" w:type="dxa"/>
            <w:shd w:val="clear" w:color="auto" w:fill="auto"/>
            <w:noWrap/>
            <w:vAlign w:val="center"/>
            <w:hideMark/>
          </w:tcPr>
          <w:p w:rsidR="008A19EF" w:rsidRPr="00E45149" w:rsidRDefault="008A19EF" w:rsidP="00E45149">
            <w:pPr>
              <w:spacing w:line="240" w:lineRule="auto"/>
              <w:jc w:val="left"/>
              <w:rPr>
                <w:b/>
                <w:bCs/>
                <w:color w:val="000000"/>
                <w:sz w:val="20"/>
                <w:szCs w:val="20"/>
              </w:rPr>
            </w:pPr>
            <w:r w:rsidRPr="00E45149">
              <w:rPr>
                <w:b/>
                <w:bCs/>
                <w:color w:val="000000"/>
                <w:sz w:val="20"/>
                <w:szCs w:val="20"/>
              </w:rPr>
              <w:t>Školstvo</w:t>
            </w:r>
          </w:p>
        </w:tc>
        <w:tc>
          <w:tcPr>
            <w:tcW w:w="1488" w:type="dxa"/>
            <w:shd w:val="clear" w:color="auto" w:fill="auto"/>
            <w:vAlign w:val="center"/>
          </w:tcPr>
          <w:p w:rsidR="008A19EF" w:rsidRPr="00E45149" w:rsidRDefault="008A19EF" w:rsidP="00E45149">
            <w:pPr>
              <w:spacing w:line="240" w:lineRule="auto"/>
              <w:jc w:val="right"/>
              <w:rPr>
                <w:color w:val="000000"/>
                <w:sz w:val="20"/>
                <w:szCs w:val="20"/>
              </w:rPr>
            </w:pPr>
            <w:r w:rsidRPr="00E45149">
              <w:rPr>
                <w:color w:val="000000"/>
                <w:sz w:val="20"/>
                <w:szCs w:val="20"/>
              </w:rPr>
              <w:t>816 </w:t>
            </w:r>
          </w:p>
        </w:tc>
        <w:tc>
          <w:tcPr>
            <w:tcW w:w="1488" w:type="dxa"/>
            <w:shd w:val="clear" w:color="auto" w:fill="auto"/>
            <w:vAlign w:val="center"/>
          </w:tcPr>
          <w:p w:rsidR="008A19EF" w:rsidRPr="00E45149" w:rsidRDefault="008A19EF" w:rsidP="00E45149">
            <w:pPr>
              <w:spacing w:line="240" w:lineRule="auto"/>
              <w:jc w:val="right"/>
              <w:rPr>
                <w:color w:val="000000"/>
                <w:sz w:val="20"/>
                <w:szCs w:val="20"/>
              </w:rPr>
            </w:pPr>
            <w:r w:rsidRPr="00E45149">
              <w:rPr>
                <w:color w:val="000000"/>
                <w:sz w:val="20"/>
                <w:szCs w:val="20"/>
              </w:rPr>
              <w:t>1147 </w:t>
            </w:r>
          </w:p>
        </w:tc>
        <w:tc>
          <w:tcPr>
            <w:tcW w:w="1488" w:type="dxa"/>
            <w:shd w:val="clear" w:color="auto" w:fill="auto"/>
            <w:vAlign w:val="center"/>
          </w:tcPr>
          <w:p w:rsidR="008A19EF" w:rsidRPr="00E45149" w:rsidRDefault="008A19EF" w:rsidP="00E45149">
            <w:pPr>
              <w:spacing w:line="240" w:lineRule="auto"/>
              <w:jc w:val="right"/>
              <w:rPr>
                <w:color w:val="000000"/>
                <w:sz w:val="20"/>
                <w:szCs w:val="20"/>
              </w:rPr>
            </w:pPr>
            <w:r w:rsidRPr="00E45149">
              <w:rPr>
                <w:color w:val="000000"/>
                <w:sz w:val="20"/>
                <w:szCs w:val="20"/>
              </w:rPr>
              <w:t>852 </w:t>
            </w:r>
          </w:p>
        </w:tc>
        <w:tc>
          <w:tcPr>
            <w:tcW w:w="1488" w:type="dxa"/>
            <w:shd w:val="clear" w:color="auto" w:fill="auto"/>
            <w:vAlign w:val="center"/>
          </w:tcPr>
          <w:p w:rsidR="008A19EF" w:rsidRPr="00E45149" w:rsidRDefault="008A19EF" w:rsidP="00E45149">
            <w:pPr>
              <w:spacing w:line="240" w:lineRule="auto"/>
              <w:jc w:val="right"/>
              <w:rPr>
                <w:color w:val="000000"/>
                <w:sz w:val="20"/>
                <w:szCs w:val="20"/>
              </w:rPr>
            </w:pPr>
            <w:r w:rsidRPr="00E45149">
              <w:rPr>
                <w:color w:val="000000"/>
                <w:sz w:val="20"/>
                <w:szCs w:val="20"/>
              </w:rPr>
              <w:t>779 </w:t>
            </w:r>
          </w:p>
        </w:tc>
      </w:tr>
      <w:tr w:rsidR="008A19EF" w:rsidRPr="00344365" w:rsidTr="00E45149">
        <w:trPr>
          <w:trHeight w:val="308"/>
          <w:jc w:val="center"/>
        </w:trPr>
        <w:tc>
          <w:tcPr>
            <w:tcW w:w="2835" w:type="dxa"/>
            <w:shd w:val="clear" w:color="auto" w:fill="auto"/>
            <w:noWrap/>
            <w:vAlign w:val="center"/>
            <w:hideMark/>
          </w:tcPr>
          <w:p w:rsidR="008A19EF" w:rsidRPr="00E45149" w:rsidRDefault="008A19EF" w:rsidP="00E45149">
            <w:pPr>
              <w:spacing w:line="240" w:lineRule="auto"/>
              <w:jc w:val="left"/>
              <w:rPr>
                <w:b/>
                <w:bCs/>
                <w:color w:val="000000"/>
                <w:sz w:val="20"/>
                <w:szCs w:val="20"/>
              </w:rPr>
            </w:pPr>
            <w:r w:rsidRPr="00E45149">
              <w:rPr>
                <w:b/>
                <w:bCs/>
                <w:color w:val="000000"/>
                <w:sz w:val="20"/>
                <w:szCs w:val="20"/>
              </w:rPr>
              <w:t>Zdravotníctvo, sociálna pomoc</w:t>
            </w:r>
          </w:p>
        </w:tc>
        <w:tc>
          <w:tcPr>
            <w:tcW w:w="1488" w:type="dxa"/>
            <w:shd w:val="clear" w:color="auto" w:fill="auto"/>
            <w:vAlign w:val="center"/>
          </w:tcPr>
          <w:p w:rsidR="008A19EF" w:rsidRPr="00E45149" w:rsidRDefault="008A19EF" w:rsidP="00E45149">
            <w:pPr>
              <w:spacing w:line="240" w:lineRule="auto"/>
              <w:jc w:val="right"/>
              <w:rPr>
                <w:color w:val="000000"/>
                <w:sz w:val="20"/>
                <w:szCs w:val="20"/>
              </w:rPr>
            </w:pPr>
            <w:r w:rsidRPr="00E45149">
              <w:rPr>
                <w:color w:val="000000"/>
                <w:sz w:val="20"/>
                <w:szCs w:val="20"/>
              </w:rPr>
              <w:t>147 </w:t>
            </w:r>
          </w:p>
        </w:tc>
        <w:tc>
          <w:tcPr>
            <w:tcW w:w="1488" w:type="dxa"/>
            <w:shd w:val="clear" w:color="auto" w:fill="auto"/>
            <w:vAlign w:val="center"/>
          </w:tcPr>
          <w:p w:rsidR="008A19EF" w:rsidRPr="00E45149" w:rsidRDefault="008A19EF" w:rsidP="00E45149">
            <w:pPr>
              <w:spacing w:line="240" w:lineRule="auto"/>
              <w:jc w:val="right"/>
              <w:rPr>
                <w:color w:val="000000"/>
                <w:sz w:val="20"/>
                <w:szCs w:val="20"/>
              </w:rPr>
            </w:pPr>
            <w:r w:rsidRPr="00E45149">
              <w:rPr>
                <w:color w:val="000000"/>
                <w:sz w:val="20"/>
                <w:szCs w:val="20"/>
              </w:rPr>
              <w:t>186 </w:t>
            </w:r>
          </w:p>
        </w:tc>
        <w:tc>
          <w:tcPr>
            <w:tcW w:w="1488" w:type="dxa"/>
            <w:shd w:val="clear" w:color="auto" w:fill="auto"/>
            <w:vAlign w:val="center"/>
          </w:tcPr>
          <w:p w:rsidR="008A19EF" w:rsidRPr="00E45149" w:rsidRDefault="008A19EF" w:rsidP="00E45149">
            <w:pPr>
              <w:spacing w:line="240" w:lineRule="auto"/>
              <w:jc w:val="right"/>
              <w:rPr>
                <w:color w:val="000000"/>
                <w:sz w:val="20"/>
                <w:szCs w:val="20"/>
              </w:rPr>
            </w:pPr>
            <w:r w:rsidRPr="00E45149">
              <w:rPr>
                <w:color w:val="000000"/>
                <w:sz w:val="20"/>
                <w:szCs w:val="20"/>
              </w:rPr>
              <w:t>175</w:t>
            </w:r>
          </w:p>
        </w:tc>
        <w:tc>
          <w:tcPr>
            <w:tcW w:w="1488" w:type="dxa"/>
            <w:shd w:val="clear" w:color="auto" w:fill="auto"/>
            <w:vAlign w:val="center"/>
          </w:tcPr>
          <w:p w:rsidR="008A19EF" w:rsidRPr="00E45149" w:rsidRDefault="008A19EF" w:rsidP="00E45149">
            <w:pPr>
              <w:spacing w:line="240" w:lineRule="auto"/>
              <w:jc w:val="right"/>
              <w:rPr>
                <w:color w:val="000000"/>
                <w:sz w:val="20"/>
                <w:szCs w:val="20"/>
              </w:rPr>
            </w:pPr>
            <w:r w:rsidRPr="00E45149">
              <w:rPr>
                <w:color w:val="000000"/>
                <w:sz w:val="20"/>
                <w:szCs w:val="20"/>
              </w:rPr>
              <w:t>207 </w:t>
            </w:r>
          </w:p>
        </w:tc>
      </w:tr>
      <w:tr w:rsidR="008A19EF" w:rsidRPr="00344365" w:rsidTr="00E45149">
        <w:trPr>
          <w:trHeight w:val="308"/>
          <w:jc w:val="center"/>
        </w:trPr>
        <w:tc>
          <w:tcPr>
            <w:tcW w:w="2835" w:type="dxa"/>
            <w:shd w:val="clear" w:color="auto" w:fill="auto"/>
            <w:noWrap/>
            <w:vAlign w:val="center"/>
            <w:hideMark/>
          </w:tcPr>
          <w:p w:rsidR="008A19EF" w:rsidRPr="00E45149" w:rsidRDefault="008A19EF" w:rsidP="00E45149">
            <w:pPr>
              <w:spacing w:line="240" w:lineRule="auto"/>
              <w:jc w:val="left"/>
              <w:rPr>
                <w:b/>
                <w:bCs/>
                <w:color w:val="000000"/>
                <w:sz w:val="20"/>
                <w:szCs w:val="20"/>
              </w:rPr>
            </w:pPr>
            <w:r w:rsidRPr="00E45149">
              <w:rPr>
                <w:b/>
                <w:bCs/>
                <w:color w:val="000000"/>
                <w:sz w:val="20"/>
                <w:szCs w:val="20"/>
              </w:rPr>
              <w:t>Ostatné</w:t>
            </w:r>
          </w:p>
        </w:tc>
        <w:tc>
          <w:tcPr>
            <w:tcW w:w="1488" w:type="dxa"/>
            <w:shd w:val="clear" w:color="auto" w:fill="auto"/>
            <w:vAlign w:val="center"/>
          </w:tcPr>
          <w:p w:rsidR="008A19EF" w:rsidRPr="00E45149" w:rsidRDefault="008A19EF" w:rsidP="00E45149">
            <w:pPr>
              <w:spacing w:line="240" w:lineRule="auto"/>
              <w:jc w:val="right"/>
              <w:rPr>
                <w:color w:val="000000"/>
                <w:sz w:val="20"/>
                <w:szCs w:val="20"/>
              </w:rPr>
            </w:pPr>
            <w:r w:rsidRPr="00E45149">
              <w:rPr>
                <w:color w:val="000000"/>
                <w:sz w:val="20"/>
                <w:szCs w:val="20"/>
              </w:rPr>
              <w:t>2991 </w:t>
            </w:r>
          </w:p>
        </w:tc>
        <w:tc>
          <w:tcPr>
            <w:tcW w:w="1488" w:type="dxa"/>
            <w:shd w:val="clear" w:color="auto" w:fill="auto"/>
            <w:vAlign w:val="center"/>
          </w:tcPr>
          <w:p w:rsidR="008A19EF" w:rsidRPr="00E45149" w:rsidRDefault="008A19EF" w:rsidP="00E45149">
            <w:pPr>
              <w:spacing w:line="240" w:lineRule="auto"/>
              <w:jc w:val="right"/>
              <w:rPr>
                <w:color w:val="000000"/>
                <w:sz w:val="20"/>
                <w:szCs w:val="20"/>
              </w:rPr>
            </w:pPr>
            <w:r w:rsidRPr="00E45149">
              <w:rPr>
                <w:color w:val="000000"/>
                <w:sz w:val="20"/>
                <w:szCs w:val="20"/>
              </w:rPr>
              <w:t>5185 </w:t>
            </w:r>
          </w:p>
        </w:tc>
        <w:tc>
          <w:tcPr>
            <w:tcW w:w="1488" w:type="dxa"/>
            <w:shd w:val="clear" w:color="auto" w:fill="auto"/>
            <w:vAlign w:val="center"/>
          </w:tcPr>
          <w:p w:rsidR="008A19EF" w:rsidRPr="00E45149" w:rsidRDefault="008A19EF" w:rsidP="00E45149">
            <w:pPr>
              <w:spacing w:line="240" w:lineRule="auto"/>
              <w:jc w:val="right"/>
              <w:rPr>
                <w:color w:val="000000"/>
                <w:sz w:val="20"/>
                <w:szCs w:val="20"/>
              </w:rPr>
            </w:pPr>
            <w:r w:rsidRPr="00E45149">
              <w:rPr>
                <w:color w:val="000000"/>
                <w:sz w:val="20"/>
                <w:szCs w:val="20"/>
              </w:rPr>
              <w:t>3260 </w:t>
            </w:r>
          </w:p>
        </w:tc>
        <w:tc>
          <w:tcPr>
            <w:tcW w:w="1488" w:type="dxa"/>
            <w:shd w:val="clear" w:color="auto" w:fill="auto"/>
            <w:vAlign w:val="center"/>
          </w:tcPr>
          <w:p w:rsidR="008A19EF" w:rsidRPr="00E45149" w:rsidRDefault="008A19EF" w:rsidP="00E45149">
            <w:pPr>
              <w:spacing w:line="240" w:lineRule="auto"/>
              <w:jc w:val="right"/>
              <w:rPr>
                <w:color w:val="000000"/>
                <w:sz w:val="20"/>
                <w:szCs w:val="20"/>
              </w:rPr>
            </w:pPr>
            <w:r w:rsidRPr="00E45149">
              <w:rPr>
                <w:color w:val="000000"/>
                <w:sz w:val="20"/>
                <w:szCs w:val="20"/>
              </w:rPr>
              <w:t>3186 </w:t>
            </w:r>
          </w:p>
        </w:tc>
      </w:tr>
    </w:tbl>
    <w:p w:rsidR="008A19EF" w:rsidRDefault="008A19EF" w:rsidP="00E45149">
      <w:pPr>
        <w:spacing w:line="240" w:lineRule="auto"/>
        <w:contextualSpacing/>
      </w:pPr>
      <w:r w:rsidRPr="00344365">
        <w:rPr>
          <w:bCs/>
        </w:rPr>
        <w:t>Zdroj: ŠÚ SR</w:t>
      </w:r>
    </w:p>
    <w:p w:rsidR="008A19EF" w:rsidRDefault="008A19EF" w:rsidP="008A19EF">
      <w:pPr>
        <w:contextualSpacing/>
      </w:pPr>
    </w:p>
    <w:p w:rsidR="003747F5" w:rsidRDefault="003747F5" w:rsidP="008A19EF">
      <w:pPr>
        <w:contextualSpacing/>
      </w:pPr>
    </w:p>
    <w:p w:rsidR="003747F5" w:rsidRDefault="003747F5" w:rsidP="008A19EF">
      <w:pPr>
        <w:contextualSpacing/>
      </w:pPr>
    </w:p>
    <w:p w:rsidR="008A19EF" w:rsidRDefault="008A19EF" w:rsidP="008A19EF">
      <w:pPr>
        <w:contextualSpacing/>
      </w:pPr>
    </w:p>
    <w:p w:rsidR="00472F63" w:rsidRPr="00472F63" w:rsidRDefault="00472F63" w:rsidP="00472F63">
      <w:pPr>
        <w:pStyle w:val="ZPPodNadpis3urovenTimesNewRoman"/>
      </w:pPr>
      <w:r w:rsidRPr="00472F63">
        <w:lastRenderedPageBreak/>
        <w:t>Analýza vydaných rozhodnutí na úseku živnostenského podnikania</w:t>
      </w:r>
    </w:p>
    <w:p w:rsidR="00472F63" w:rsidRPr="003757AF" w:rsidRDefault="00472F63" w:rsidP="00472F63">
      <w:pPr>
        <w:ind w:firstLine="708"/>
        <w:contextualSpacing/>
      </w:pPr>
      <w:r w:rsidRPr="003757AF">
        <w:t xml:space="preserve">Pri analýze vývoja počtu živnostníkov (počet vzniknutých, pozastavených a zrušených živností) za nami sledované obdobie 2004 - 2008 v jednotlivých oblastiach Slovenskej republiky sme vychádzali zo zákona č. 211/2000 Z.z. o slobodnom prístupe k informáciám, ktorý stanovuje povinnosť inštitúciám verejnej správy, a teda aj Obvodnému úradu, zverejniť informácie, s výnimkou skutočností, ktoré sú predmetom utajenia. </w:t>
      </w:r>
    </w:p>
    <w:p w:rsidR="00472F63" w:rsidRPr="003757AF" w:rsidRDefault="00472F63" w:rsidP="00472F63">
      <w:pPr>
        <w:ind w:firstLine="708"/>
        <w:contextualSpacing/>
      </w:pPr>
      <w:r w:rsidRPr="003757AF">
        <w:t xml:space="preserve">So žiadosťou o poskytnutie informácií týkajúcich sa vývoja počtu živnostníkov sme sa teda obrátili na všetkých 50 obvodných úradov na Slovensku. Z uvedeného zákona vyplýva, že žiadateľ musí dostať požadovanú informáciu v lehote do 8 pracovných dní. Ak však povinná osoba poruší tento zákon alebo vedome poskytne nepravdivé či neúplné informácie, dopúšťa sa priestupku na úseku slobodného prístupu k informáciám. Celkovo bolo vydaných 29 zamietavých rozhodnutí, 9 kladných rozhodnutí a 12 obvodných úradov ignorovali našu žiadosť. Obvodné úrady, ktoré vydali zamietavé rozhodnutia, sa odvolávajú na § 60b ods. 7 zákona č. 455/1991 Zb. o živnostenskom podnikaní, podľa ktorého sa na poskytovanie údajov zo živnostenského registra nevzťahujú ustanovenia osobitného zákona o sprístupňovaní informácií. Nami požadované údaje totiž nie sú súčasťou živnostenského registra, a preto odbory živnostenského podnikania nimi nedisponujú, nemajú ich priamo k dispozícii, a preto sa do nich nedá ani nahliadnuť. </w:t>
      </w:r>
    </w:p>
    <w:p w:rsidR="00472F63" w:rsidRDefault="00472F63" w:rsidP="00472F63">
      <w:pPr>
        <w:ind w:firstLine="708"/>
        <w:contextualSpacing/>
      </w:pPr>
      <w:r>
        <w:t xml:space="preserve">Pri analýze </w:t>
      </w:r>
      <w:r w:rsidRPr="003757AF">
        <w:t xml:space="preserve">počtu živnostníkov (počet vzniknutých, pozastavených a zrušených živností) za nami sledované obdobie 2004 - 2008 v jednotlivých oblastiach Slovenskej republiky sme </w:t>
      </w:r>
      <w:r>
        <w:t xml:space="preserve">teda </w:t>
      </w:r>
      <w:r w:rsidRPr="003757AF">
        <w:t>vychádzali z 9 kladných rozhodnutí</w:t>
      </w:r>
      <w:r>
        <w:t xml:space="preserve">, ktoré vzhľadom na poskytnuté údaje môžeme rozdeliť kategórií: </w:t>
      </w:r>
    </w:p>
    <w:p w:rsidR="00413360" w:rsidRDefault="00413360" w:rsidP="00472F63">
      <w:pPr>
        <w:ind w:firstLine="708"/>
        <w:contextualSpacing/>
      </w:pPr>
    </w:p>
    <w:p w:rsidR="008A19EF" w:rsidRPr="00472F63" w:rsidRDefault="00472F63" w:rsidP="00B560E4">
      <w:pPr>
        <w:pStyle w:val="Odsekzoznamu"/>
        <w:numPr>
          <w:ilvl w:val="0"/>
          <w:numId w:val="81"/>
        </w:numPr>
        <w:spacing w:line="360" w:lineRule="auto"/>
        <w:contextualSpacing/>
        <w:rPr>
          <w:sz w:val="24"/>
          <w:szCs w:val="24"/>
        </w:rPr>
      </w:pPr>
      <w:r w:rsidRPr="00472F63">
        <w:rPr>
          <w:sz w:val="24"/>
          <w:szCs w:val="24"/>
        </w:rPr>
        <w:t>živnostenské úrady, ktoré poskytli údaje za jednotlivé roky 2004 - 2008              (Prievidza, Banská Bystrica, Stará Ľubovňa)</w:t>
      </w:r>
      <w:r w:rsidR="008A19EF" w:rsidRPr="00472F63">
        <w:rPr>
          <w:sz w:val="24"/>
          <w:szCs w:val="24"/>
        </w:rPr>
        <w:t xml:space="preserve"> </w:t>
      </w:r>
    </w:p>
    <w:p w:rsidR="008A19EF" w:rsidRDefault="008A19EF" w:rsidP="008A19EF">
      <w:pPr>
        <w:ind w:firstLine="708"/>
        <w:contextualSpacing/>
      </w:pPr>
    </w:p>
    <w:p w:rsidR="000E420B" w:rsidRDefault="000E420B" w:rsidP="008A19EF">
      <w:pPr>
        <w:ind w:firstLine="708"/>
        <w:contextualSpacing/>
      </w:pPr>
    </w:p>
    <w:p w:rsidR="000E420B" w:rsidRDefault="000E420B" w:rsidP="008A19EF">
      <w:pPr>
        <w:ind w:firstLine="708"/>
        <w:contextualSpacing/>
      </w:pPr>
    </w:p>
    <w:p w:rsidR="000E420B" w:rsidRDefault="000E420B" w:rsidP="008A19EF">
      <w:pPr>
        <w:ind w:firstLine="708"/>
        <w:contextualSpacing/>
      </w:pPr>
    </w:p>
    <w:p w:rsidR="000E420B" w:rsidRDefault="000E420B" w:rsidP="008A19EF">
      <w:pPr>
        <w:ind w:firstLine="708"/>
        <w:contextualSpacing/>
      </w:pPr>
    </w:p>
    <w:p w:rsidR="000E420B" w:rsidRDefault="000E420B" w:rsidP="008A19EF">
      <w:pPr>
        <w:ind w:firstLine="708"/>
        <w:contextualSpacing/>
      </w:pPr>
    </w:p>
    <w:p w:rsidR="008A19EF" w:rsidRPr="00E45149" w:rsidRDefault="00E45149" w:rsidP="00E45149">
      <w:pPr>
        <w:spacing w:line="240" w:lineRule="auto"/>
        <w:contextualSpacing/>
      </w:pPr>
      <w:r>
        <w:rPr>
          <w:b/>
        </w:rPr>
        <w:lastRenderedPageBreak/>
        <w:t xml:space="preserve">          </w:t>
      </w:r>
      <w:r w:rsidR="008A19EF" w:rsidRPr="00E45149">
        <w:rPr>
          <w:b/>
        </w:rPr>
        <w:t>Vývoj živnostníkov vo vybraných Obvodných úradoch</w:t>
      </w:r>
      <w:r w:rsidR="008A19EF" w:rsidRPr="00E45149">
        <w:rPr>
          <w:b/>
          <w:noProof/>
        </w:rPr>
        <w:t xml:space="preserve"> </w:t>
      </w:r>
      <w:r w:rsidR="007A73E2">
        <w:rPr>
          <w:b/>
          <w:noProof/>
        </w:rPr>
        <w:t>1</w:t>
      </w:r>
      <w:r w:rsidR="008A19EF" w:rsidRPr="00E45149">
        <w:rPr>
          <w:b/>
          <w:noProof/>
        </w:rPr>
        <w:t xml:space="preserve">       Tabuľka </w:t>
      </w:r>
      <w:r w:rsidR="000E420B">
        <w:rPr>
          <w:b/>
          <w:noProof/>
        </w:rPr>
        <w:t>7</w:t>
      </w:r>
    </w:p>
    <w:tbl>
      <w:tblPr>
        <w:tblW w:w="7245" w:type="dxa"/>
        <w:jc w:val="center"/>
        <w:tblInd w:w="5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4A0"/>
      </w:tblPr>
      <w:tblGrid>
        <w:gridCol w:w="1716"/>
        <w:gridCol w:w="1105"/>
        <w:gridCol w:w="1106"/>
        <w:gridCol w:w="1106"/>
        <w:gridCol w:w="1106"/>
        <w:gridCol w:w="1106"/>
      </w:tblGrid>
      <w:tr w:rsidR="008A19EF" w:rsidRPr="00E45149" w:rsidTr="00E45149">
        <w:trPr>
          <w:trHeight w:val="296"/>
          <w:jc w:val="center"/>
        </w:trPr>
        <w:tc>
          <w:tcPr>
            <w:tcW w:w="1716" w:type="dxa"/>
            <w:tcBorders>
              <w:top w:val="single" w:sz="18" w:space="0" w:color="auto"/>
              <w:bottom w:val="single" w:sz="18" w:space="0" w:color="auto"/>
            </w:tcBorders>
            <w:shd w:val="clear" w:color="auto" w:fill="auto"/>
            <w:noWrap/>
            <w:vAlign w:val="center"/>
            <w:hideMark/>
          </w:tcPr>
          <w:p w:rsidR="008A19EF" w:rsidRPr="00E45149" w:rsidRDefault="008A19EF" w:rsidP="00E45149">
            <w:pPr>
              <w:spacing w:line="240" w:lineRule="auto"/>
              <w:contextualSpacing/>
              <w:jc w:val="center"/>
              <w:rPr>
                <w:b/>
                <w:color w:val="000000"/>
                <w:sz w:val="20"/>
                <w:szCs w:val="20"/>
              </w:rPr>
            </w:pPr>
            <w:r w:rsidRPr="00E45149">
              <w:rPr>
                <w:b/>
                <w:color w:val="000000"/>
                <w:sz w:val="20"/>
                <w:szCs w:val="20"/>
              </w:rPr>
              <w:t>Rok</w:t>
            </w:r>
          </w:p>
        </w:tc>
        <w:tc>
          <w:tcPr>
            <w:tcW w:w="1105" w:type="dxa"/>
            <w:tcBorders>
              <w:top w:val="single" w:sz="18" w:space="0" w:color="auto"/>
              <w:bottom w:val="single" w:sz="18" w:space="0" w:color="auto"/>
            </w:tcBorders>
            <w:shd w:val="clear" w:color="auto" w:fill="auto"/>
            <w:noWrap/>
            <w:vAlign w:val="center"/>
            <w:hideMark/>
          </w:tcPr>
          <w:p w:rsidR="008A19EF" w:rsidRPr="00E45149" w:rsidRDefault="008A19EF" w:rsidP="00E45149">
            <w:pPr>
              <w:spacing w:line="240" w:lineRule="auto"/>
              <w:contextualSpacing/>
              <w:jc w:val="center"/>
              <w:rPr>
                <w:b/>
                <w:color w:val="000000"/>
                <w:sz w:val="20"/>
                <w:szCs w:val="20"/>
              </w:rPr>
            </w:pPr>
            <w:r w:rsidRPr="00E45149">
              <w:rPr>
                <w:b/>
                <w:color w:val="000000"/>
                <w:sz w:val="20"/>
                <w:szCs w:val="20"/>
              </w:rPr>
              <w:t>2004</w:t>
            </w:r>
          </w:p>
        </w:tc>
        <w:tc>
          <w:tcPr>
            <w:tcW w:w="1106" w:type="dxa"/>
            <w:tcBorders>
              <w:top w:val="single" w:sz="18" w:space="0" w:color="auto"/>
              <w:bottom w:val="single" w:sz="18" w:space="0" w:color="auto"/>
            </w:tcBorders>
            <w:shd w:val="clear" w:color="auto" w:fill="auto"/>
            <w:noWrap/>
            <w:vAlign w:val="center"/>
            <w:hideMark/>
          </w:tcPr>
          <w:p w:rsidR="008A19EF" w:rsidRPr="00E45149" w:rsidRDefault="008A19EF" w:rsidP="00E45149">
            <w:pPr>
              <w:spacing w:line="240" w:lineRule="auto"/>
              <w:contextualSpacing/>
              <w:jc w:val="center"/>
              <w:rPr>
                <w:b/>
                <w:color w:val="000000"/>
                <w:sz w:val="20"/>
                <w:szCs w:val="20"/>
              </w:rPr>
            </w:pPr>
            <w:r w:rsidRPr="00E45149">
              <w:rPr>
                <w:b/>
                <w:color w:val="000000"/>
                <w:sz w:val="20"/>
                <w:szCs w:val="20"/>
              </w:rPr>
              <w:t>2005</w:t>
            </w:r>
          </w:p>
        </w:tc>
        <w:tc>
          <w:tcPr>
            <w:tcW w:w="1106" w:type="dxa"/>
            <w:tcBorders>
              <w:top w:val="single" w:sz="18" w:space="0" w:color="auto"/>
              <w:bottom w:val="single" w:sz="18" w:space="0" w:color="auto"/>
            </w:tcBorders>
            <w:shd w:val="clear" w:color="auto" w:fill="auto"/>
            <w:noWrap/>
            <w:vAlign w:val="center"/>
            <w:hideMark/>
          </w:tcPr>
          <w:p w:rsidR="008A19EF" w:rsidRPr="00E45149" w:rsidRDefault="008A19EF" w:rsidP="00E45149">
            <w:pPr>
              <w:spacing w:line="240" w:lineRule="auto"/>
              <w:contextualSpacing/>
              <w:jc w:val="center"/>
              <w:rPr>
                <w:b/>
                <w:color w:val="000000"/>
                <w:sz w:val="20"/>
                <w:szCs w:val="20"/>
              </w:rPr>
            </w:pPr>
            <w:r w:rsidRPr="00E45149">
              <w:rPr>
                <w:b/>
                <w:color w:val="000000"/>
                <w:sz w:val="20"/>
                <w:szCs w:val="20"/>
              </w:rPr>
              <w:t>2006</w:t>
            </w:r>
          </w:p>
        </w:tc>
        <w:tc>
          <w:tcPr>
            <w:tcW w:w="1106" w:type="dxa"/>
            <w:tcBorders>
              <w:top w:val="single" w:sz="18" w:space="0" w:color="auto"/>
              <w:bottom w:val="single" w:sz="18" w:space="0" w:color="auto"/>
            </w:tcBorders>
            <w:vAlign w:val="center"/>
          </w:tcPr>
          <w:p w:rsidR="008A19EF" w:rsidRPr="00E45149" w:rsidRDefault="008A19EF" w:rsidP="00E45149">
            <w:pPr>
              <w:spacing w:line="240" w:lineRule="auto"/>
              <w:contextualSpacing/>
              <w:jc w:val="center"/>
              <w:rPr>
                <w:b/>
                <w:color w:val="000000"/>
                <w:sz w:val="20"/>
                <w:szCs w:val="20"/>
              </w:rPr>
            </w:pPr>
            <w:r w:rsidRPr="00E45149">
              <w:rPr>
                <w:b/>
                <w:color w:val="000000"/>
                <w:sz w:val="20"/>
                <w:szCs w:val="20"/>
              </w:rPr>
              <w:t>2007</w:t>
            </w:r>
          </w:p>
        </w:tc>
        <w:tc>
          <w:tcPr>
            <w:tcW w:w="1106" w:type="dxa"/>
            <w:tcBorders>
              <w:top w:val="single" w:sz="18" w:space="0" w:color="auto"/>
              <w:bottom w:val="single" w:sz="18" w:space="0" w:color="auto"/>
            </w:tcBorders>
            <w:vAlign w:val="center"/>
          </w:tcPr>
          <w:p w:rsidR="008A19EF" w:rsidRPr="00E45149" w:rsidRDefault="008A19EF" w:rsidP="00E45149">
            <w:pPr>
              <w:spacing w:line="240" w:lineRule="auto"/>
              <w:contextualSpacing/>
              <w:jc w:val="center"/>
              <w:rPr>
                <w:b/>
                <w:color w:val="000000"/>
                <w:sz w:val="20"/>
                <w:szCs w:val="20"/>
              </w:rPr>
            </w:pPr>
            <w:r w:rsidRPr="00E45149">
              <w:rPr>
                <w:b/>
                <w:color w:val="000000"/>
                <w:sz w:val="20"/>
                <w:szCs w:val="20"/>
              </w:rPr>
              <w:t>2008</w:t>
            </w:r>
          </w:p>
        </w:tc>
      </w:tr>
      <w:tr w:rsidR="008A19EF" w:rsidRPr="00E45149" w:rsidTr="00E45149">
        <w:trPr>
          <w:trHeight w:val="296"/>
          <w:jc w:val="center"/>
        </w:trPr>
        <w:tc>
          <w:tcPr>
            <w:tcW w:w="7245" w:type="dxa"/>
            <w:gridSpan w:val="6"/>
            <w:tcBorders>
              <w:top w:val="single" w:sz="18" w:space="0" w:color="auto"/>
              <w:bottom w:val="single" w:sz="18" w:space="0" w:color="auto"/>
            </w:tcBorders>
            <w:shd w:val="clear" w:color="auto" w:fill="FFFF00"/>
            <w:noWrap/>
            <w:vAlign w:val="center"/>
            <w:hideMark/>
          </w:tcPr>
          <w:p w:rsidR="008A19EF" w:rsidRPr="00E45149" w:rsidRDefault="008A19EF" w:rsidP="00E45149">
            <w:pPr>
              <w:spacing w:line="240" w:lineRule="auto"/>
              <w:contextualSpacing/>
              <w:jc w:val="center"/>
              <w:rPr>
                <w:b/>
                <w:color w:val="000000"/>
                <w:sz w:val="20"/>
                <w:szCs w:val="20"/>
              </w:rPr>
            </w:pPr>
            <w:r w:rsidRPr="00E45149">
              <w:rPr>
                <w:b/>
                <w:color w:val="000000"/>
                <w:sz w:val="20"/>
                <w:szCs w:val="20"/>
              </w:rPr>
              <w:t>Živnostenský (Obvodný) úrad Prievidza</w:t>
            </w:r>
          </w:p>
        </w:tc>
      </w:tr>
      <w:tr w:rsidR="008A19EF" w:rsidRPr="00E45149" w:rsidTr="00E45149">
        <w:trPr>
          <w:trHeight w:val="296"/>
          <w:jc w:val="center"/>
        </w:trPr>
        <w:tc>
          <w:tcPr>
            <w:tcW w:w="1716" w:type="dxa"/>
            <w:tcBorders>
              <w:top w:val="single" w:sz="18" w:space="0" w:color="auto"/>
            </w:tcBorders>
            <w:shd w:val="clear" w:color="auto" w:fill="auto"/>
            <w:noWrap/>
            <w:vAlign w:val="center"/>
            <w:hideMark/>
          </w:tcPr>
          <w:p w:rsidR="008A19EF" w:rsidRPr="00E45149" w:rsidRDefault="008A19EF" w:rsidP="007A73E2">
            <w:pPr>
              <w:spacing w:line="240" w:lineRule="auto"/>
              <w:contextualSpacing/>
              <w:jc w:val="left"/>
              <w:rPr>
                <w:b/>
                <w:color w:val="000000"/>
                <w:sz w:val="20"/>
                <w:szCs w:val="20"/>
              </w:rPr>
            </w:pPr>
            <w:r w:rsidRPr="00E45149">
              <w:rPr>
                <w:b/>
                <w:color w:val="000000"/>
                <w:sz w:val="20"/>
                <w:szCs w:val="20"/>
              </w:rPr>
              <w:t>Počet nových podnikateľov</w:t>
            </w:r>
          </w:p>
        </w:tc>
        <w:tc>
          <w:tcPr>
            <w:tcW w:w="1105" w:type="dxa"/>
            <w:tcBorders>
              <w:top w:val="single" w:sz="18" w:space="0" w:color="auto"/>
            </w:tcBorders>
            <w:shd w:val="clear" w:color="auto" w:fill="auto"/>
            <w:noWrap/>
            <w:vAlign w:val="center"/>
            <w:hideMark/>
          </w:tcPr>
          <w:p w:rsidR="008A19EF" w:rsidRPr="00E45149" w:rsidRDefault="008A19EF" w:rsidP="00E45149">
            <w:pPr>
              <w:spacing w:line="240" w:lineRule="auto"/>
              <w:contextualSpacing/>
              <w:jc w:val="right"/>
              <w:rPr>
                <w:b/>
                <w:color w:val="000000"/>
                <w:sz w:val="20"/>
                <w:szCs w:val="20"/>
              </w:rPr>
            </w:pPr>
            <w:r w:rsidRPr="00E45149">
              <w:rPr>
                <w:sz w:val="20"/>
                <w:szCs w:val="20"/>
              </w:rPr>
              <w:t>1584</w:t>
            </w:r>
          </w:p>
        </w:tc>
        <w:tc>
          <w:tcPr>
            <w:tcW w:w="1106" w:type="dxa"/>
            <w:tcBorders>
              <w:top w:val="single" w:sz="18" w:space="0" w:color="auto"/>
            </w:tcBorders>
            <w:shd w:val="clear" w:color="auto" w:fill="auto"/>
            <w:noWrap/>
            <w:vAlign w:val="center"/>
            <w:hideMark/>
          </w:tcPr>
          <w:p w:rsidR="008A19EF" w:rsidRPr="00E45149" w:rsidRDefault="008A19EF" w:rsidP="00E45149">
            <w:pPr>
              <w:spacing w:line="240" w:lineRule="auto"/>
              <w:contextualSpacing/>
              <w:jc w:val="right"/>
              <w:rPr>
                <w:b/>
                <w:color w:val="000000"/>
                <w:sz w:val="20"/>
                <w:szCs w:val="20"/>
              </w:rPr>
            </w:pPr>
            <w:r w:rsidRPr="00E45149">
              <w:rPr>
                <w:sz w:val="20"/>
                <w:szCs w:val="20"/>
              </w:rPr>
              <w:t>1775</w:t>
            </w:r>
          </w:p>
        </w:tc>
        <w:tc>
          <w:tcPr>
            <w:tcW w:w="1106" w:type="dxa"/>
            <w:tcBorders>
              <w:top w:val="single" w:sz="18" w:space="0" w:color="auto"/>
            </w:tcBorders>
            <w:shd w:val="clear" w:color="auto" w:fill="auto"/>
            <w:noWrap/>
            <w:vAlign w:val="center"/>
            <w:hideMark/>
          </w:tcPr>
          <w:p w:rsidR="008A19EF" w:rsidRPr="00E45149" w:rsidRDefault="008A19EF" w:rsidP="00E45149">
            <w:pPr>
              <w:spacing w:line="240" w:lineRule="auto"/>
              <w:contextualSpacing/>
              <w:jc w:val="right"/>
              <w:rPr>
                <w:b/>
                <w:color w:val="000000"/>
                <w:sz w:val="20"/>
                <w:szCs w:val="20"/>
              </w:rPr>
            </w:pPr>
            <w:r w:rsidRPr="00E45149">
              <w:rPr>
                <w:sz w:val="20"/>
                <w:szCs w:val="20"/>
              </w:rPr>
              <w:t>1733</w:t>
            </w:r>
          </w:p>
        </w:tc>
        <w:tc>
          <w:tcPr>
            <w:tcW w:w="1106" w:type="dxa"/>
            <w:tcBorders>
              <w:top w:val="single" w:sz="18" w:space="0" w:color="auto"/>
            </w:tcBorders>
            <w:vAlign w:val="center"/>
          </w:tcPr>
          <w:p w:rsidR="008A19EF" w:rsidRPr="00E45149" w:rsidRDefault="008A19EF" w:rsidP="00E45149">
            <w:pPr>
              <w:spacing w:line="240" w:lineRule="auto"/>
              <w:contextualSpacing/>
              <w:jc w:val="right"/>
              <w:rPr>
                <w:b/>
                <w:color w:val="000000"/>
                <w:sz w:val="20"/>
                <w:szCs w:val="20"/>
              </w:rPr>
            </w:pPr>
            <w:r w:rsidRPr="00E45149">
              <w:rPr>
                <w:sz w:val="20"/>
                <w:szCs w:val="20"/>
              </w:rPr>
              <w:t>1887</w:t>
            </w:r>
          </w:p>
        </w:tc>
        <w:tc>
          <w:tcPr>
            <w:tcW w:w="1106" w:type="dxa"/>
            <w:tcBorders>
              <w:top w:val="single" w:sz="18" w:space="0" w:color="auto"/>
            </w:tcBorders>
            <w:vAlign w:val="center"/>
          </w:tcPr>
          <w:p w:rsidR="008A19EF" w:rsidRPr="00E45149" w:rsidRDefault="008A19EF" w:rsidP="00E45149">
            <w:pPr>
              <w:spacing w:line="240" w:lineRule="auto"/>
              <w:contextualSpacing/>
              <w:jc w:val="right"/>
              <w:rPr>
                <w:b/>
                <w:color w:val="000000"/>
                <w:sz w:val="20"/>
                <w:szCs w:val="20"/>
              </w:rPr>
            </w:pPr>
            <w:r w:rsidRPr="00E45149">
              <w:rPr>
                <w:sz w:val="20"/>
                <w:szCs w:val="20"/>
              </w:rPr>
              <w:t>2064</w:t>
            </w:r>
          </w:p>
        </w:tc>
      </w:tr>
      <w:tr w:rsidR="008A19EF" w:rsidRPr="00E45149" w:rsidTr="00E45149">
        <w:trPr>
          <w:trHeight w:val="296"/>
          <w:jc w:val="center"/>
        </w:trPr>
        <w:tc>
          <w:tcPr>
            <w:tcW w:w="1716" w:type="dxa"/>
            <w:shd w:val="clear" w:color="auto" w:fill="auto"/>
            <w:noWrap/>
            <w:vAlign w:val="center"/>
            <w:hideMark/>
          </w:tcPr>
          <w:p w:rsidR="008A19EF" w:rsidRPr="00E45149" w:rsidRDefault="008A19EF" w:rsidP="007A73E2">
            <w:pPr>
              <w:spacing w:line="240" w:lineRule="auto"/>
              <w:contextualSpacing/>
              <w:jc w:val="left"/>
              <w:rPr>
                <w:color w:val="000000"/>
                <w:sz w:val="20"/>
                <w:szCs w:val="20"/>
              </w:rPr>
            </w:pPr>
            <w:r w:rsidRPr="00E45149">
              <w:rPr>
                <w:b/>
                <w:color w:val="000000"/>
                <w:sz w:val="20"/>
                <w:szCs w:val="20"/>
              </w:rPr>
              <w:t>Počet rozhodnutí o pozastavení živnosti</w:t>
            </w:r>
          </w:p>
        </w:tc>
        <w:tc>
          <w:tcPr>
            <w:tcW w:w="1105" w:type="dxa"/>
            <w:shd w:val="clear" w:color="auto" w:fill="auto"/>
            <w:noWrap/>
            <w:vAlign w:val="center"/>
            <w:hideMark/>
          </w:tcPr>
          <w:p w:rsidR="008A19EF" w:rsidRPr="00E45149" w:rsidRDefault="008A19EF" w:rsidP="00E45149">
            <w:pPr>
              <w:spacing w:line="240" w:lineRule="auto"/>
              <w:contextualSpacing/>
              <w:jc w:val="right"/>
              <w:rPr>
                <w:color w:val="000000"/>
                <w:sz w:val="20"/>
                <w:szCs w:val="20"/>
              </w:rPr>
            </w:pPr>
            <w:r w:rsidRPr="00E45149">
              <w:rPr>
                <w:sz w:val="20"/>
                <w:szCs w:val="20"/>
              </w:rPr>
              <w:t>929</w:t>
            </w:r>
          </w:p>
        </w:tc>
        <w:tc>
          <w:tcPr>
            <w:tcW w:w="1106" w:type="dxa"/>
            <w:shd w:val="clear" w:color="auto" w:fill="auto"/>
            <w:noWrap/>
            <w:vAlign w:val="center"/>
            <w:hideMark/>
          </w:tcPr>
          <w:p w:rsidR="008A19EF" w:rsidRPr="00E45149" w:rsidRDefault="008A19EF" w:rsidP="00E45149">
            <w:pPr>
              <w:spacing w:line="240" w:lineRule="auto"/>
              <w:contextualSpacing/>
              <w:jc w:val="right"/>
              <w:rPr>
                <w:color w:val="000000"/>
                <w:sz w:val="20"/>
                <w:szCs w:val="20"/>
              </w:rPr>
            </w:pPr>
            <w:r w:rsidRPr="00E45149">
              <w:rPr>
                <w:sz w:val="20"/>
                <w:szCs w:val="20"/>
              </w:rPr>
              <w:t>1519</w:t>
            </w:r>
          </w:p>
        </w:tc>
        <w:tc>
          <w:tcPr>
            <w:tcW w:w="1106" w:type="dxa"/>
            <w:shd w:val="clear" w:color="auto" w:fill="auto"/>
            <w:noWrap/>
            <w:vAlign w:val="center"/>
            <w:hideMark/>
          </w:tcPr>
          <w:p w:rsidR="008A19EF" w:rsidRPr="00E45149" w:rsidRDefault="008A19EF" w:rsidP="00E45149">
            <w:pPr>
              <w:spacing w:line="240" w:lineRule="auto"/>
              <w:contextualSpacing/>
              <w:jc w:val="right"/>
              <w:rPr>
                <w:color w:val="000000"/>
                <w:sz w:val="20"/>
                <w:szCs w:val="20"/>
              </w:rPr>
            </w:pPr>
            <w:r w:rsidRPr="00E45149">
              <w:rPr>
                <w:sz w:val="20"/>
                <w:szCs w:val="20"/>
              </w:rPr>
              <w:t>1647</w:t>
            </w:r>
          </w:p>
        </w:tc>
        <w:tc>
          <w:tcPr>
            <w:tcW w:w="1106" w:type="dxa"/>
            <w:vAlign w:val="center"/>
          </w:tcPr>
          <w:p w:rsidR="008A19EF" w:rsidRPr="00E45149" w:rsidRDefault="008A19EF" w:rsidP="00E45149">
            <w:pPr>
              <w:spacing w:line="240" w:lineRule="auto"/>
              <w:contextualSpacing/>
              <w:jc w:val="right"/>
              <w:rPr>
                <w:sz w:val="20"/>
                <w:szCs w:val="20"/>
              </w:rPr>
            </w:pPr>
            <w:r w:rsidRPr="00E45149">
              <w:rPr>
                <w:sz w:val="20"/>
                <w:szCs w:val="20"/>
              </w:rPr>
              <w:t>1769</w:t>
            </w:r>
          </w:p>
        </w:tc>
        <w:tc>
          <w:tcPr>
            <w:tcW w:w="1106" w:type="dxa"/>
            <w:vAlign w:val="center"/>
          </w:tcPr>
          <w:p w:rsidR="008A19EF" w:rsidRPr="00E45149" w:rsidRDefault="008A19EF" w:rsidP="00E45149">
            <w:pPr>
              <w:spacing w:line="240" w:lineRule="auto"/>
              <w:contextualSpacing/>
              <w:jc w:val="right"/>
              <w:rPr>
                <w:sz w:val="20"/>
                <w:szCs w:val="20"/>
              </w:rPr>
            </w:pPr>
            <w:r w:rsidRPr="00E45149">
              <w:rPr>
                <w:sz w:val="20"/>
                <w:szCs w:val="20"/>
              </w:rPr>
              <w:t>1548</w:t>
            </w:r>
          </w:p>
        </w:tc>
      </w:tr>
      <w:tr w:rsidR="008A19EF" w:rsidRPr="00E45149" w:rsidTr="00E45149">
        <w:trPr>
          <w:trHeight w:val="296"/>
          <w:jc w:val="center"/>
        </w:trPr>
        <w:tc>
          <w:tcPr>
            <w:tcW w:w="1716" w:type="dxa"/>
            <w:tcBorders>
              <w:bottom w:val="single" w:sz="18" w:space="0" w:color="auto"/>
            </w:tcBorders>
            <w:shd w:val="clear" w:color="auto" w:fill="auto"/>
            <w:noWrap/>
            <w:vAlign w:val="center"/>
            <w:hideMark/>
          </w:tcPr>
          <w:p w:rsidR="008A19EF" w:rsidRPr="00E45149" w:rsidRDefault="008A19EF" w:rsidP="007A73E2">
            <w:pPr>
              <w:spacing w:line="240" w:lineRule="auto"/>
              <w:contextualSpacing/>
              <w:jc w:val="left"/>
              <w:rPr>
                <w:b/>
                <w:color w:val="000000"/>
                <w:sz w:val="20"/>
                <w:szCs w:val="20"/>
              </w:rPr>
            </w:pPr>
            <w:r w:rsidRPr="00E45149">
              <w:rPr>
                <w:b/>
                <w:color w:val="000000"/>
                <w:sz w:val="20"/>
                <w:szCs w:val="20"/>
              </w:rPr>
              <w:t>Počet zrušených a zaniknutých živnostenských oprávnení</w:t>
            </w:r>
          </w:p>
        </w:tc>
        <w:tc>
          <w:tcPr>
            <w:tcW w:w="1105" w:type="dxa"/>
            <w:tcBorders>
              <w:bottom w:val="single" w:sz="18" w:space="0" w:color="auto"/>
            </w:tcBorders>
            <w:shd w:val="clear" w:color="auto" w:fill="auto"/>
            <w:noWrap/>
            <w:vAlign w:val="center"/>
            <w:hideMark/>
          </w:tcPr>
          <w:p w:rsidR="008A19EF" w:rsidRPr="00E45149" w:rsidRDefault="008A19EF" w:rsidP="00E45149">
            <w:pPr>
              <w:spacing w:line="240" w:lineRule="auto"/>
              <w:contextualSpacing/>
              <w:jc w:val="right"/>
              <w:rPr>
                <w:color w:val="000000"/>
                <w:sz w:val="20"/>
                <w:szCs w:val="20"/>
              </w:rPr>
            </w:pPr>
            <w:r w:rsidRPr="00E45149">
              <w:rPr>
                <w:sz w:val="20"/>
                <w:szCs w:val="20"/>
              </w:rPr>
              <w:t>940</w:t>
            </w:r>
          </w:p>
        </w:tc>
        <w:tc>
          <w:tcPr>
            <w:tcW w:w="1106" w:type="dxa"/>
            <w:tcBorders>
              <w:bottom w:val="single" w:sz="18" w:space="0" w:color="auto"/>
            </w:tcBorders>
            <w:shd w:val="clear" w:color="auto" w:fill="auto"/>
            <w:noWrap/>
            <w:vAlign w:val="center"/>
            <w:hideMark/>
          </w:tcPr>
          <w:p w:rsidR="008A19EF" w:rsidRPr="00E45149" w:rsidRDefault="008A19EF" w:rsidP="00E45149">
            <w:pPr>
              <w:spacing w:line="240" w:lineRule="auto"/>
              <w:contextualSpacing/>
              <w:jc w:val="right"/>
              <w:rPr>
                <w:color w:val="000000"/>
                <w:sz w:val="20"/>
                <w:szCs w:val="20"/>
              </w:rPr>
            </w:pPr>
            <w:r w:rsidRPr="00E45149">
              <w:rPr>
                <w:sz w:val="20"/>
                <w:szCs w:val="20"/>
              </w:rPr>
              <w:t>1262</w:t>
            </w:r>
          </w:p>
        </w:tc>
        <w:tc>
          <w:tcPr>
            <w:tcW w:w="1106" w:type="dxa"/>
            <w:tcBorders>
              <w:bottom w:val="single" w:sz="18" w:space="0" w:color="auto"/>
            </w:tcBorders>
            <w:shd w:val="clear" w:color="auto" w:fill="auto"/>
            <w:noWrap/>
            <w:vAlign w:val="center"/>
            <w:hideMark/>
          </w:tcPr>
          <w:p w:rsidR="008A19EF" w:rsidRPr="00E45149" w:rsidRDefault="008A19EF" w:rsidP="00E45149">
            <w:pPr>
              <w:spacing w:line="240" w:lineRule="auto"/>
              <w:contextualSpacing/>
              <w:jc w:val="right"/>
              <w:rPr>
                <w:color w:val="000000"/>
                <w:sz w:val="20"/>
                <w:szCs w:val="20"/>
              </w:rPr>
            </w:pPr>
            <w:r w:rsidRPr="00E45149">
              <w:rPr>
                <w:sz w:val="20"/>
                <w:szCs w:val="20"/>
              </w:rPr>
              <w:t>1240</w:t>
            </w:r>
          </w:p>
        </w:tc>
        <w:tc>
          <w:tcPr>
            <w:tcW w:w="1106" w:type="dxa"/>
            <w:tcBorders>
              <w:bottom w:val="single" w:sz="18" w:space="0" w:color="auto"/>
            </w:tcBorders>
            <w:vAlign w:val="center"/>
          </w:tcPr>
          <w:p w:rsidR="008A19EF" w:rsidRPr="00E45149" w:rsidRDefault="008A19EF" w:rsidP="00E45149">
            <w:pPr>
              <w:spacing w:line="240" w:lineRule="auto"/>
              <w:contextualSpacing/>
              <w:jc w:val="right"/>
              <w:rPr>
                <w:sz w:val="20"/>
                <w:szCs w:val="20"/>
              </w:rPr>
            </w:pPr>
            <w:r w:rsidRPr="00E45149">
              <w:rPr>
                <w:sz w:val="20"/>
                <w:szCs w:val="20"/>
              </w:rPr>
              <w:t>1252</w:t>
            </w:r>
          </w:p>
        </w:tc>
        <w:tc>
          <w:tcPr>
            <w:tcW w:w="1106" w:type="dxa"/>
            <w:tcBorders>
              <w:bottom w:val="single" w:sz="18" w:space="0" w:color="auto"/>
            </w:tcBorders>
            <w:vAlign w:val="center"/>
          </w:tcPr>
          <w:p w:rsidR="008A19EF" w:rsidRPr="00E45149" w:rsidRDefault="008A19EF" w:rsidP="00E45149">
            <w:pPr>
              <w:spacing w:line="240" w:lineRule="auto"/>
              <w:contextualSpacing/>
              <w:jc w:val="right"/>
              <w:rPr>
                <w:sz w:val="20"/>
                <w:szCs w:val="20"/>
              </w:rPr>
            </w:pPr>
            <w:r w:rsidRPr="00E45149">
              <w:rPr>
                <w:sz w:val="20"/>
                <w:szCs w:val="20"/>
              </w:rPr>
              <w:t>1355</w:t>
            </w:r>
          </w:p>
        </w:tc>
      </w:tr>
      <w:tr w:rsidR="008A19EF" w:rsidRPr="00E45149" w:rsidTr="00E45149">
        <w:trPr>
          <w:trHeight w:val="296"/>
          <w:jc w:val="center"/>
        </w:trPr>
        <w:tc>
          <w:tcPr>
            <w:tcW w:w="7245" w:type="dxa"/>
            <w:gridSpan w:val="6"/>
            <w:tcBorders>
              <w:top w:val="single" w:sz="18" w:space="0" w:color="auto"/>
              <w:bottom w:val="single" w:sz="18" w:space="0" w:color="auto"/>
            </w:tcBorders>
            <w:shd w:val="clear" w:color="auto" w:fill="FFFF00"/>
            <w:noWrap/>
            <w:vAlign w:val="center"/>
            <w:hideMark/>
          </w:tcPr>
          <w:p w:rsidR="008A19EF" w:rsidRPr="00E45149" w:rsidRDefault="008A19EF" w:rsidP="00E45149">
            <w:pPr>
              <w:spacing w:line="240" w:lineRule="auto"/>
              <w:contextualSpacing/>
              <w:jc w:val="center"/>
              <w:rPr>
                <w:b/>
                <w:sz w:val="20"/>
                <w:szCs w:val="20"/>
              </w:rPr>
            </w:pPr>
            <w:r w:rsidRPr="00E45149">
              <w:rPr>
                <w:b/>
                <w:sz w:val="20"/>
                <w:szCs w:val="20"/>
              </w:rPr>
              <w:t xml:space="preserve">Živnostenský (Obvodný) úrad Banská Bystrica </w:t>
            </w:r>
          </w:p>
        </w:tc>
      </w:tr>
      <w:tr w:rsidR="008A19EF" w:rsidRPr="00E45149" w:rsidTr="00E45149">
        <w:trPr>
          <w:trHeight w:val="296"/>
          <w:jc w:val="center"/>
        </w:trPr>
        <w:tc>
          <w:tcPr>
            <w:tcW w:w="1716" w:type="dxa"/>
            <w:tcBorders>
              <w:top w:val="single" w:sz="18" w:space="0" w:color="auto"/>
            </w:tcBorders>
            <w:shd w:val="clear" w:color="auto" w:fill="auto"/>
            <w:noWrap/>
            <w:vAlign w:val="center"/>
            <w:hideMark/>
          </w:tcPr>
          <w:p w:rsidR="008A19EF" w:rsidRPr="00E45149" w:rsidRDefault="008A19EF" w:rsidP="007A73E2">
            <w:pPr>
              <w:spacing w:line="240" w:lineRule="auto"/>
              <w:contextualSpacing/>
              <w:jc w:val="left"/>
              <w:rPr>
                <w:b/>
                <w:color w:val="000000"/>
                <w:sz w:val="20"/>
                <w:szCs w:val="20"/>
              </w:rPr>
            </w:pPr>
            <w:r w:rsidRPr="00E45149">
              <w:rPr>
                <w:b/>
                <w:color w:val="000000"/>
                <w:sz w:val="20"/>
                <w:szCs w:val="20"/>
              </w:rPr>
              <w:t>Počet nových podnikateľov</w:t>
            </w:r>
          </w:p>
        </w:tc>
        <w:tc>
          <w:tcPr>
            <w:tcW w:w="1105" w:type="dxa"/>
            <w:tcBorders>
              <w:top w:val="single" w:sz="18" w:space="0" w:color="auto"/>
            </w:tcBorders>
            <w:shd w:val="clear" w:color="auto" w:fill="auto"/>
            <w:noWrap/>
            <w:vAlign w:val="center"/>
            <w:hideMark/>
          </w:tcPr>
          <w:p w:rsidR="008A19EF" w:rsidRPr="00E45149" w:rsidRDefault="008A19EF" w:rsidP="00E45149">
            <w:pPr>
              <w:spacing w:line="240" w:lineRule="auto"/>
              <w:contextualSpacing/>
              <w:jc w:val="right"/>
              <w:rPr>
                <w:color w:val="000000"/>
                <w:sz w:val="20"/>
                <w:szCs w:val="20"/>
              </w:rPr>
            </w:pPr>
            <w:r w:rsidRPr="00E45149">
              <w:rPr>
                <w:sz w:val="20"/>
                <w:szCs w:val="20"/>
              </w:rPr>
              <w:t>1451</w:t>
            </w:r>
          </w:p>
        </w:tc>
        <w:tc>
          <w:tcPr>
            <w:tcW w:w="1106" w:type="dxa"/>
            <w:tcBorders>
              <w:top w:val="single" w:sz="18" w:space="0" w:color="auto"/>
            </w:tcBorders>
            <w:shd w:val="clear" w:color="auto" w:fill="auto"/>
            <w:noWrap/>
            <w:vAlign w:val="center"/>
            <w:hideMark/>
          </w:tcPr>
          <w:p w:rsidR="008A19EF" w:rsidRPr="00E45149" w:rsidRDefault="008A19EF" w:rsidP="00E45149">
            <w:pPr>
              <w:spacing w:line="240" w:lineRule="auto"/>
              <w:contextualSpacing/>
              <w:jc w:val="right"/>
              <w:rPr>
                <w:color w:val="000000"/>
                <w:sz w:val="20"/>
                <w:szCs w:val="20"/>
              </w:rPr>
            </w:pPr>
            <w:r w:rsidRPr="00E45149">
              <w:rPr>
                <w:sz w:val="20"/>
                <w:szCs w:val="20"/>
              </w:rPr>
              <w:t>1343</w:t>
            </w:r>
          </w:p>
        </w:tc>
        <w:tc>
          <w:tcPr>
            <w:tcW w:w="1106" w:type="dxa"/>
            <w:tcBorders>
              <w:top w:val="single" w:sz="18" w:space="0" w:color="auto"/>
            </w:tcBorders>
            <w:shd w:val="clear" w:color="auto" w:fill="auto"/>
            <w:noWrap/>
            <w:vAlign w:val="center"/>
            <w:hideMark/>
          </w:tcPr>
          <w:p w:rsidR="008A19EF" w:rsidRPr="00E45149" w:rsidRDefault="008A19EF" w:rsidP="00E45149">
            <w:pPr>
              <w:spacing w:line="240" w:lineRule="auto"/>
              <w:contextualSpacing/>
              <w:jc w:val="right"/>
              <w:rPr>
                <w:color w:val="000000"/>
                <w:sz w:val="20"/>
                <w:szCs w:val="20"/>
              </w:rPr>
            </w:pPr>
            <w:r w:rsidRPr="00E45149">
              <w:rPr>
                <w:sz w:val="20"/>
                <w:szCs w:val="20"/>
              </w:rPr>
              <w:t>1319</w:t>
            </w:r>
          </w:p>
        </w:tc>
        <w:tc>
          <w:tcPr>
            <w:tcW w:w="1106" w:type="dxa"/>
            <w:tcBorders>
              <w:top w:val="single" w:sz="18" w:space="0" w:color="auto"/>
            </w:tcBorders>
            <w:vAlign w:val="center"/>
          </w:tcPr>
          <w:p w:rsidR="008A19EF" w:rsidRPr="00E45149" w:rsidRDefault="008A19EF" w:rsidP="00E45149">
            <w:pPr>
              <w:spacing w:line="240" w:lineRule="auto"/>
              <w:contextualSpacing/>
              <w:jc w:val="right"/>
              <w:rPr>
                <w:sz w:val="20"/>
                <w:szCs w:val="20"/>
              </w:rPr>
            </w:pPr>
            <w:r w:rsidRPr="00E45149">
              <w:rPr>
                <w:sz w:val="20"/>
                <w:szCs w:val="20"/>
              </w:rPr>
              <w:t>1408</w:t>
            </w:r>
          </w:p>
        </w:tc>
        <w:tc>
          <w:tcPr>
            <w:tcW w:w="1106" w:type="dxa"/>
            <w:tcBorders>
              <w:top w:val="single" w:sz="18" w:space="0" w:color="auto"/>
            </w:tcBorders>
            <w:vAlign w:val="center"/>
          </w:tcPr>
          <w:p w:rsidR="008A19EF" w:rsidRPr="00E45149" w:rsidRDefault="008A19EF" w:rsidP="00E45149">
            <w:pPr>
              <w:spacing w:line="240" w:lineRule="auto"/>
              <w:contextualSpacing/>
              <w:jc w:val="right"/>
              <w:rPr>
                <w:sz w:val="20"/>
                <w:szCs w:val="20"/>
              </w:rPr>
            </w:pPr>
            <w:r w:rsidRPr="00E45149">
              <w:rPr>
                <w:sz w:val="20"/>
                <w:szCs w:val="20"/>
              </w:rPr>
              <w:t>1390</w:t>
            </w:r>
          </w:p>
        </w:tc>
      </w:tr>
      <w:tr w:rsidR="008A19EF" w:rsidRPr="00E45149" w:rsidTr="00E45149">
        <w:trPr>
          <w:trHeight w:val="296"/>
          <w:jc w:val="center"/>
        </w:trPr>
        <w:tc>
          <w:tcPr>
            <w:tcW w:w="1716" w:type="dxa"/>
            <w:shd w:val="clear" w:color="auto" w:fill="auto"/>
            <w:noWrap/>
            <w:vAlign w:val="center"/>
            <w:hideMark/>
          </w:tcPr>
          <w:p w:rsidR="008A19EF" w:rsidRPr="00E45149" w:rsidRDefault="008A19EF" w:rsidP="007A73E2">
            <w:pPr>
              <w:spacing w:line="240" w:lineRule="auto"/>
              <w:contextualSpacing/>
              <w:jc w:val="left"/>
              <w:rPr>
                <w:color w:val="000000"/>
                <w:sz w:val="20"/>
                <w:szCs w:val="20"/>
              </w:rPr>
            </w:pPr>
            <w:r w:rsidRPr="00E45149">
              <w:rPr>
                <w:b/>
                <w:color w:val="000000"/>
                <w:sz w:val="20"/>
                <w:szCs w:val="20"/>
              </w:rPr>
              <w:t>Počet rozhodnutí o pozastavení živnosti</w:t>
            </w:r>
          </w:p>
        </w:tc>
        <w:tc>
          <w:tcPr>
            <w:tcW w:w="1105" w:type="dxa"/>
            <w:shd w:val="clear" w:color="auto" w:fill="auto"/>
            <w:noWrap/>
            <w:vAlign w:val="center"/>
            <w:hideMark/>
          </w:tcPr>
          <w:p w:rsidR="008A19EF" w:rsidRPr="00E45149" w:rsidRDefault="008A19EF" w:rsidP="00E45149">
            <w:pPr>
              <w:spacing w:line="240" w:lineRule="auto"/>
              <w:contextualSpacing/>
              <w:jc w:val="right"/>
              <w:rPr>
                <w:color w:val="000000"/>
                <w:sz w:val="20"/>
                <w:szCs w:val="20"/>
              </w:rPr>
            </w:pPr>
            <w:r w:rsidRPr="00E45149">
              <w:rPr>
                <w:sz w:val="20"/>
                <w:szCs w:val="20"/>
              </w:rPr>
              <w:t>771</w:t>
            </w:r>
          </w:p>
        </w:tc>
        <w:tc>
          <w:tcPr>
            <w:tcW w:w="1106" w:type="dxa"/>
            <w:shd w:val="clear" w:color="auto" w:fill="auto"/>
            <w:noWrap/>
            <w:vAlign w:val="center"/>
            <w:hideMark/>
          </w:tcPr>
          <w:p w:rsidR="008A19EF" w:rsidRPr="00E45149" w:rsidRDefault="008A19EF" w:rsidP="00E45149">
            <w:pPr>
              <w:spacing w:line="240" w:lineRule="auto"/>
              <w:contextualSpacing/>
              <w:jc w:val="right"/>
              <w:rPr>
                <w:color w:val="000000"/>
                <w:sz w:val="20"/>
                <w:szCs w:val="20"/>
              </w:rPr>
            </w:pPr>
            <w:r w:rsidRPr="00E45149">
              <w:rPr>
                <w:sz w:val="20"/>
                <w:szCs w:val="20"/>
              </w:rPr>
              <w:t>1078</w:t>
            </w:r>
          </w:p>
        </w:tc>
        <w:tc>
          <w:tcPr>
            <w:tcW w:w="1106" w:type="dxa"/>
            <w:shd w:val="clear" w:color="auto" w:fill="auto"/>
            <w:noWrap/>
            <w:vAlign w:val="center"/>
            <w:hideMark/>
          </w:tcPr>
          <w:p w:rsidR="008A19EF" w:rsidRPr="00E45149" w:rsidRDefault="008A19EF" w:rsidP="00E45149">
            <w:pPr>
              <w:spacing w:line="240" w:lineRule="auto"/>
              <w:contextualSpacing/>
              <w:jc w:val="right"/>
              <w:rPr>
                <w:color w:val="000000"/>
                <w:sz w:val="20"/>
                <w:szCs w:val="20"/>
              </w:rPr>
            </w:pPr>
            <w:r w:rsidRPr="00E45149">
              <w:rPr>
                <w:sz w:val="20"/>
                <w:szCs w:val="20"/>
              </w:rPr>
              <w:t>1049</w:t>
            </w:r>
          </w:p>
        </w:tc>
        <w:tc>
          <w:tcPr>
            <w:tcW w:w="1106" w:type="dxa"/>
            <w:vAlign w:val="center"/>
          </w:tcPr>
          <w:p w:rsidR="008A19EF" w:rsidRPr="00E45149" w:rsidRDefault="008A19EF" w:rsidP="00E45149">
            <w:pPr>
              <w:spacing w:line="240" w:lineRule="auto"/>
              <w:contextualSpacing/>
              <w:jc w:val="right"/>
              <w:rPr>
                <w:sz w:val="20"/>
                <w:szCs w:val="20"/>
              </w:rPr>
            </w:pPr>
            <w:r w:rsidRPr="00E45149">
              <w:rPr>
                <w:sz w:val="20"/>
                <w:szCs w:val="20"/>
              </w:rPr>
              <w:t>1021</w:t>
            </w:r>
          </w:p>
        </w:tc>
        <w:tc>
          <w:tcPr>
            <w:tcW w:w="1106" w:type="dxa"/>
            <w:vAlign w:val="center"/>
          </w:tcPr>
          <w:p w:rsidR="008A19EF" w:rsidRPr="00E45149" w:rsidRDefault="008A19EF" w:rsidP="00E45149">
            <w:pPr>
              <w:spacing w:line="240" w:lineRule="auto"/>
              <w:contextualSpacing/>
              <w:jc w:val="right"/>
              <w:rPr>
                <w:sz w:val="20"/>
                <w:szCs w:val="20"/>
              </w:rPr>
            </w:pPr>
            <w:r w:rsidRPr="00E45149">
              <w:rPr>
                <w:sz w:val="20"/>
                <w:szCs w:val="20"/>
              </w:rPr>
              <w:t>1013</w:t>
            </w:r>
          </w:p>
        </w:tc>
      </w:tr>
      <w:tr w:rsidR="008A19EF" w:rsidRPr="00E45149" w:rsidTr="00E45149">
        <w:trPr>
          <w:trHeight w:val="296"/>
          <w:jc w:val="center"/>
        </w:trPr>
        <w:tc>
          <w:tcPr>
            <w:tcW w:w="1716" w:type="dxa"/>
            <w:tcBorders>
              <w:bottom w:val="single" w:sz="18" w:space="0" w:color="auto"/>
            </w:tcBorders>
            <w:shd w:val="clear" w:color="auto" w:fill="auto"/>
            <w:noWrap/>
            <w:vAlign w:val="center"/>
            <w:hideMark/>
          </w:tcPr>
          <w:p w:rsidR="008A19EF" w:rsidRPr="00E45149" w:rsidRDefault="008A19EF" w:rsidP="007A73E2">
            <w:pPr>
              <w:spacing w:line="240" w:lineRule="auto"/>
              <w:contextualSpacing/>
              <w:jc w:val="left"/>
              <w:rPr>
                <w:b/>
                <w:color w:val="000000"/>
                <w:sz w:val="20"/>
                <w:szCs w:val="20"/>
              </w:rPr>
            </w:pPr>
            <w:r w:rsidRPr="00E45149">
              <w:rPr>
                <w:b/>
                <w:color w:val="000000"/>
                <w:sz w:val="20"/>
                <w:szCs w:val="20"/>
              </w:rPr>
              <w:t>Počet zrušených a zaniknutých živnostenských oprávnení</w:t>
            </w:r>
          </w:p>
        </w:tc>
        <w:tc>
          <w:tcPr>
            <w:tcW w:w="1105" w:type="dxa"/>
            <w:tcBorders>
              <w:bottom w:val="single" w:sz="18" w:space="0" w:color="auto"/>
            </w:tcBorders>
            <w:shd w:val="clear" w:color="auto" w:fill="auto"/>
            <w:noWrap/>
            <w:vAlign w:val="center"/>
            <w:hideMark/>
          </w:tcPr>
          <w:p w:rsidR="008A19EF" w:rsidRPr="00E45149" w:rsidRDefault="008A19EF" w:rsidP="00E45149">
            <w:pPr>
              <w:spacing w:line="240" w:lineRule="auto"/>
              <w:contextualSpacing/>
              <w:jc w:val="right"/>
              <w:rPr>
                <w:color w:val="000000"/>
                <w:sz w:val="20"/>
                <w:szCs w:val="20"/>
              </w:rPr>
            </w:pPr>
            <w:r w:rsidRPr="00E45149">
              <w:rPr>
                <w:sz w:val="20"/>
                <w:szCs w:val="20"/>
              </w:rPr>
              <w:t>459</w:t>
            </w:r>
          </w:p>
        </w:tc>
        <w:tc>
          <w:tcPr>
            <w:tcW w:w="1106" w:type="dxa"/>
            <w:tcBorders>
              <w:bottom w:val="single" w:sz="18" w:space="0" w:color="auto"/>
            </w:tcBorders>
            <w:shd w:val="clear" w:color="auto" w:fill="auto"/>
            <w:noWrap/>
            <w:vAlign w:val="center"/>
            <w:hideMark/>
          </w:tcPr>
          <w:p w:rsidR="008A19EF" w:rsidRPr="00E45149" w:rsidRDefault="008A19EF" w:rsidP="00E45149">
            <w:pPr>
              <w:spacing w:line="240" w:lineRule="auto"/>
              <w:contextualSpacing/>
              <w:jc w:val="right"/>
              <w:rPr>
                <w:color w:val="000000"/>
                <w:sz w:val="20"/>
                <w:szCs w:val="20"/>
              </w:rPr>
            </w:pPr>
            <w:r w:rsidRPr="00E45149">
              <w:rPr>
                <w:sz w:val="20"/>
                <w:szCs w:val="20"/>
              </w:rPr>
              <w:t>755</w:t>
            </w:r>
          </w:p>
        </w:tc>
        <w:tc>
          <w:tcPr>
            <w:tcW w:w="1106" w:type="dxa"/>
            <w:tcBorders>
              <w:bottom w:val="single" w:sz="18" w:space="0" w:color="auto"/>
            </w:tcBorders>
            <w:shd w:val="clear" w:color="auto" w:fill="auto"/>
            <w:noWrap/>
            <w:vAlign w:val="center"/>
            <w:hideMark/>
          </w:tcPr>
          <w:p w:rsidR="008A19EF" w:rsidRPr="00E45149" w:rsidRDefault="008A19EF" w:rsidP="00E45149">
            <w:pPr>
              <w:spacing w:line="240" w:lineRule="auto"/>
              <w:contextualSpacing/>
              <w:jc w:val="right"/>
              <w:rPr>
                <w:color w:val="000000"/>
                <w:sz w:val="20"/>
                <w:szCs w:val="20"/>
              </w:rPr>
            </w:pPr>
            <w:r w:rsidRPr="00E45149">
              <w:rPr>
                <w:sz w:val="20"/>
                <w:szCs w:val="20"/>
              </w:rPr>
              <w:t>635</w:t>
            </w:r>
          </w:p>
        </w:tc>
        <w:tc>
          <w:tcPr>
            <w:tcW w:w="1106" w:type="dxa"/>
            <w:tcBorders>
              <w:bottom w:val="single" w:sz="18" w:space="0" w:color="auto"/>
            </w:tcBorders>
            <w:vAlign w:val="center"/>
          </w:tcPr>
          <w:p w:rsidR="008A19EF" w:rsidRPr="00E45149" w:rsidRDefault="008A19EF" w:rsidP="00E45149">
            <w:pPr>
              <w:spacing w:line="240" w:lineRule="auto"/>
              <w:contextualSpacing/>
              <w:jc w:val="right"/>
              <w:rPr>
                <w:sz w:val="20"/>
                <w:szCs w:val="20"/>
              </w:rPr>
            </w:pPr>
            <w:r w:rsidRPr="00E45149">
              <w:rPr>
                <w:sz w:val="20"/>
                <w:szCs w:val="20"/>
              </w:rPr>
              <w:t>719</w:t>
            </w:r>
          </w:p>
        </w:tc>
        <w:tc>
          <w:tcPr>
            <w:tcW w:w="1106" w:type="dxa"/>
            <w:tcBorders>
              <w:bottom w:val="single" w:sz="18" w:space="0" w:color="auto"/>
            </w:tcBorders>
            <w:vAlign w:val="center"/>
          </w:tcPr>
          <w:p w:rsidR="008A19EF" w:rsidRPr="00E45149" w:rsidRDefault="008A19EF" w:rsidP="00E45149">
            <w:pPr>
              <w:spacing w:line="240" w:lineRule="auto"/>
              <w:contextualSpacing/>
              <w:jc w:val="right"/>
              <w:rPr>
                <w:sz w:val="20"/>
                <w:szCs w:val="20"/>
              </w:rPr>
            </w:pPr>
            <w:r w:rsidRPr="00E45149">
              <w:rPr>
                <w:sz w:val="20"/>
                <w:szCs w:val="20"/>
              </w:rPr>
              <w:t>817</w:t>
            </w:r>
          </w:p>
        </w:tc>
      </w:tr>
      <w:tr w:rsidR="008A19EF" w:rsidRPr="00E45149" w:rsidTr="00E45149">
        <w:trPr>
          <w:trHeight w:val="296"/>
          <w:jc w:val="center"/>
        </w:trPr>
        <w:tc>
          <w:tcPr>
            <w:tcW w:w="7245" w:type="dxa"/>
            <w:gridSpan w:val="6"/>
            <w:tcBorders>
              <w:top w:val="single" w:sz="18" w:space="0" w:color="auto"/>
              <w:bottom w:val="single" w:sz="18" w:space="0" w:color="auto"/>
            </w:tcBorders>
            <w:shd w:val="clear" w:color="auto" w:fill="FFFF00"/>
            <w:noWrap/>
            <w:vAlign w:val="center"/>
            <w:hideMark/>
          </w:tcPr>
          <w:p w:rsidR="008A19EF" w:rsidRPr="00E45149" w:rsidRDefault="008A19EF" w:rsidP="00E45149">
            <w:pPr>
              <w:spacing w:line="240" w:lineRule="auto"/>
              <w:contextualSpacing/>
              <w:jc w:val="center"/>
              <w:rPr>
                <w:sz w:val="20"/>
                <w:szCs w:val="20"/>
              </w:rPr>
            </w:pPr>
            <w:r w:rsidRPr="00E45149">
              <w:rPr>
                <w:b/>
                <w:sz w:val="20"/>
                <w:szCs w:val="20"/>
              </w:rPr>
              <w:t>Živnostenský (Obvodný) úrad Stará Ľubovňa</w:t>
            </w:r>
          </w:p>
        </w:tc>
      </w:tr>
      <w:tr w:rsidR="008A19EF" w:rsidRPr="00E45149" w:rsidTr="00E45149">
        <w:trPr>
          <w:trHeight w:val="296"/>
          <w:jc w:val="center"/>
        </w:trPr>
        <w:tc>
          <w:tcPr>
            <w:tcW w:w="1716" w:type="dxa"/>
            <w:tcBorders>
              <w:top w:val="single" w:sz="18" w:space="0" w:color="auto"/>
            </w:tcBorders>
            <w:shd w:val="clear" w:color="auto" w:fill="auto"/>
            <w:noWrap/>
            <w:vAlign w:val="center"/>
            <w:hideMark/>
          </w:tcPr>
          <w:p w:rsidR="008A19EF" w:rsidRPr="00E45149" w:rsidRDefault="008A19EF" w:rsidP="007A73E2">
            <w:pPr>
              <w:spacing w:line="240" w:lineRule="auto"/>
              <w:contextualSpacing/>
              <w:jc w:val="left"/>
              <w:rPr>
                <w:b/>
                <w:color w:val="000000"/>
                <w:sz w:val="20"/>
                <w:szCs w:val="20"/>
              </w:rPr>
            </w:pPr>
            <w:r w:rsidRPr="00E45149">
              <w:rPr>
                <w:b/>
                <w:color w:val="000000"/>
                <w:sz w:val="20"/>
                <w:szCs w:val="20"/>
              </w:rPr>
              <w:t>Počet nových podnikateľov</w:t>
            </w:r>
          </w:p>
        </w:tc>
        <w:tc>
          <w:tcPr>
            <w:tcW w:w="1105" w:type="dxa"/>
            <w:tcBorders>
              <w:top w:val="single" w:sz="18" w:space="0" w:color="auto"/>
            </w:tcBorders>
            <w:shd w:val="clear" w:color="auto" w:fill="auto"/>
            <w:noWrap/>
            <w:vAlign w:val="center"/>
            <w:hideMark/>
          </w:tcPr>
          <w:p w:rsidR="008A19EF" w:rsidRPr="00E45149" w:rsidRDefault="008A19EF" w:rsidP="00E45149">
            <w:pPr>
              <w:spacing w:line="240" w:lineRule="auto"/>
              <w:contextualSpacing/>
              <w:jc w:val="right"/>
              <w:rPr>
                <w:sz w:val="20"/>
                <w:szCs w:val="20"/>
              </w:rPr>
            </w:pPr>
            <w:r w:rsidRPr="00E45149">
              <w:rPr>
                <w:sz w:val="20"/>
                <w:szCs w:val="20"/>
              </w:rPr>
              <w:t>1190</w:t>
            </w:r>
          </w:p>
        </w:tc>
        <w:tc>
          <w:tcPr>
            <w:tcW w:w="1106" w:type="dxa"/>
            <w:tcBorders>
              <w:top w:val="single" w:sz="18" w:space="0" w:color="auto"/>
            </w:tcBorders>
            <w:shd w:val="clear" w:color="auto" w:fill="auto"/>
            <w:noWrap/>
            <w:vAlign w:val="center"/>
            <w:hideMark/>
          </w:tcPr>
          <w:p w:rsidR="008A19EF" w:rsidRPr="00E45149" w:rsidRDefault="008A19EF" w:rsidP="00E45149">
            <w:pPr>
              <w:spacing w:line="240" w:lineRule="auto"/>
              <w:contextualSpacing/>
              <w:jc w:val="right"/>
              <w:rPr>
                <w:sz w:val="20"/>
                <w:szCs w:val="20"/>
              </w:rPr>
            </w:pPr>
            <w:r w:rsidRPr="00E45149">
              <w:rPr>
                <w:sz w:val="20"/>
                <w:szCs w:val="20"/>
              </w:rPr>
              <w:t>1151</w:t>
            </w:r>
          </w:p>
        </w:tc>
        <w:tc>
          <w:tcPr>
            <w:tcW w:w="1106" w:type="dxa"/>
            <w:tcBorders>
              <w:top w:val="single" w:sz="18" w:space="0" w:color="auto"/>
            </w:tcBorders>
            <w:shd w:val="clear" w:color="auto" w:fill="auto"/>
            <w:noWrap/>
            <w:vAlign w:val="center"/>
            <w:hideMark/>
          </w:tcPr>
          <w:p w:rsidR="008A19EF" w:rsidRPr="00E45149" w:rsidRDefault="008A19EF" w:rsidP="00E45149">
            <w:pPr>
              <w:spacing w:line="240" w:lineRule="auto"/>
              <w:contextualSpacing/>
              <w:jc w:val="right"/>
              <w:rPr>
                <w:sz w:val="20"/>
                <w:szCs w:val="20"/>
              </w:rPr>
            </w:pPr>
            <w:r w:rsidRPr="00E45149">
              <w:rPr>
                <w:sz w:val="20"/>
                <w:szCs w:val="20"/>
              </w:rPr>
              <w:t>967</w:t>
            </w:r>
          </w:p>
        </w:tc>
        <w:tc>
          <w:tcPr>
            <w:tcW w:w="1106" w:type="dxa"/>
            <w:tcBorders>
              <w:top w:val="single" w:sz="18" w:space="0" w:color="auto"/>
            </w:tcBorders>
            <w:vAlign w:val="center"/>
          </w:tcPr>
          <w:p w:rsidR="008A19EF" w:rsidRPr="00E45149" w:rsidRDefault="008A19EF" w:rsidP="00E45149">
            <w:pPr>
              <w:spacing w:line="240" w:lineRule="auto"/>
              <w:contextualSpacing/>
              <w:jc w:val="right"/>
              <w:rPr>
                <w:sz w:val="20"/>
                <w:szCs w:val="20"/>
              </w:rPr>
            </w:pPr>
            <w:r w:rsidRPr="00E45149">
              <w:rPr>
                <w:sz w:val="20"/>
                <w:szCs w:val="20"/>
              </w:rPr>
              <w:t>1570</w:t>
            </w:r>
          </w:p>
        </w:tc>
        <w:tc>
          <w:tcPr>
            <w:tcW w:w="1106" w:type="dxa"/>
            <w:tcBorders>
              <w:top w:val="single" w:sz="18" w:space="0" w:color="auto"/>
            </w:tcBorders>
            <w:vAlign w:val="center"/>
          </w:tcPr>
          <w:p w:rsidR="008A19EF" w:rsidRPr="00E45149" w:rsidRDefault="008A19EF" w:rsidP="00E45149">
            <w:pPr>
              <w:spacing w:line="240" w:lineRule="auto"/>
              <w:contextualSpacing/>
              <w:jc w:val="right"/>
              <w:rPr>
                <w:sz w:val="20"/>
                <w:szCs w:val="20"/>
              </w:rPr>
            </w:pPr>
            <w:r w:rsidRPr="00E45149">
              <w:rPr>
                <w:sz w:val="20"/>
                <w:szCs w:val="20"/>
              </w:rPr>
              <w:t>3170</w:t>
            </w:r>
          </w:p>
        </w:tc>
      </w:tr>
      <w:tr w:rsidR="008A19EF" w:rsidRPr="00E45149" w:rsidTr="00E45149">
        <w:trPr>
          <w:trHeight w:val="296"/>
          <w:jc w:val="center"/>
        </w:trPr>
        <w:tc>
          <w:tcPr>
            <w:tcW w:w="1716" w:type="dxa"/>
            <w:shd w:val="clear" w:color="auto" w:fill="auto"/>
            <w:noWrap/>
            <w:vAlign w:val="center"/>
            <w:hideMark/>
          </w:tcPr>
          <w:p w:rsidR="008A19EF" w:rsidRPr="00E45149" w:rsidRDefault="008A19EF" w:rsidP="007A73E2">
            <w:pPr>
              <w:spacing w:line="240" w:lineRule="auto"/>
              <w:contextualSpacing/>
              <w:jc w:val="left"/>
              <w:rPr>
                <w:color w:val="000000"/>
                <w:sz w:val="20"/>
                <w:szCs w:val="20"/>
              </w:rPr>
            </w:pPr>
            <w:r w:rsidRPr="00E45149">
              <w:rPr>
                <w:b/>
                <w:color w:val="000000"/>
                <w:sz w:val="20"/>
                <w:szCs w:val="20"/>
              </w:rPr>
              <w:t>Počet rozhodnutí o pozastavení živnosti</w:t>
            </w:r>
          </w:p>
        </w:tc>
        <w:tc>
          <w:tcPr>
            <w:tcW w:w="1105" w:type="dxa"/>
            <w:shd w:val="clear" w:color="auto" w:fill="auto"/>
            <w:noWrap/>
            <w:vAlign w:val="center"/>
            <w:hideMark/>
          </w:tcPr>
          <w:p w:rsidR="008A19EF" w:rsidRPr="00E45149" w:rsidRDefault="008A19EF" w:rsidP="00E45149">
            <w:pPr>
              <w:spacing w:line="240" w:lineRule="auto"/>
              <w:contextualSpacing/>
              <w:jc w:val="right"/>
              <w:rPr>
                <w:sz w:val="20"/>
                <w:szCs w:val="20"/>
              </w:rPr>
            </w:pPr>
            <w:r w:rsidRPr="00E45149">
              <w:rPr>
                <w:sz w:val="20"/>
                <w:szCs w:val="20"/>
              </w:rPr>
              <w:t>514</w:t>
            </w:r>
          </w:p>
        </w:tc>
        <w:tc>
          <w:tcPr>
            <w:tcW w:w="1106" w:type="dxa"/>
            <w:shd w:val="clear" w:color="auto" w:fill="auto"/>
            <w:noWrap/>
            <w:vAlign w:val="center"/>
            <w:hideMark/>
          </w:tcPr>
          <w:p w:rsidR="008A19EF" w:rsidRPr="00E45149" w:rsidRDefault="008A19EF" w:rsidP="00E45149">
            <w:pPr>
              <w:spacing w:line="240" w:lineRule="auto"/>
              <w:contextualSpacing/>
              <w:jc w:val="right"/>
              <w:rPr>
                <w:sz w:val="20"/>
                <w:szCs w:val="20"/>
              </w:rPr>
            </w:pPr>
            <w:r w:rsidRPr="00E45149">
              <w:rPr>
                <w:sz w:val="20"/>
                <w:szCs w:val="20"/>
              </w:rPr>
              <w:t>807</w:t>
            </w:r>
          </w:p>
        </w:tc>
        <w:tc>
          <w:tcPr>
            <w:tcW w:w="1106" w:type="dxa"/>
            <w:shd w:val="clear" w:color="auto" w:fill="auto"/>
            <w:noWrap/>
            <w:vAlign w:val="center"/>
            <w:hideMark/>
          </w:tcPr>
          <w:p w:rsidR="008A19EF" w:rsidRPr="00E45149" w:rsidRDefault="008A19EF" w:rsidP="00E45149">
            <w:pPr>
              <w:spacing w:line="240" w:lineRule="auto"/>
              <w:contextualSpacing/>
              <w:jc w:val="right"/>
              <w:rPr>
                <w:sz w:val="20"/>
                <w:szCs w:val="20"/>
              </w:rPr>
            </w:pPr>
            <w:r w:rsidRPr="00E45149">
              <w:rPr>
                <w:sz w:val="20"/>
                <w:szCs w:val="20"/>
              </w:rPr>
              <w:t>892</w:t>
            </w:r>
          </w:p>
        </w:tc>
        <w:tc>
          <w:tcPr>
            <w:tcW w:w="1106" w:type="dxa"/>
            <w:vAlign w:val="center"/>
          </w:tcPr>
          <w:p w:rsidR="008A19EF" w:rsidRPr="00E45149" w:rsidRDefault="008A19EF" w:rsidP="00E45149">
            <w:pPr>
              <w:spacing w:line="240" w:lineRule="auto"/>
              <w:contextualSpacing/>
              <w:jc w:val="right"/>
              <w:rPr>
                <w:sz w:val="20"/>
                <w:szCs w:val="20"/>
              </w:rPr>
            </w:pPr>
            <w:r w:rsidRPr="00E45149">
              <w:rPr>
                <w:sz w:val="20"/>
                <w:szCs w:val="20"/>
              </w:rPr>
              <w:t>888</w:t>
            </w:r>
          </w:p>
        </w:tc>
        <w:tc>
          <w:tcPr>
            <w:tcW w:w="1106" w:type="dxa"/>
            <w:vAlign w:val="center"/>
          </w:tcPr>
          <w:p w:rsidR="008A19EF" w:rsidRPr="00E45149" w:rsidRDefault="008A19EF" w:rsidP="00E45149">
            <w:pPr>
              <w:spacing w:line="240" w:lineRule="auto"/>
              <w:contextualSpacing/>
              <w:jc w:val="right"/>
              <w:rPr>
                <w:sz w:val="20"/>
                <w:szCs w:val="20"/>
              </w:rPr>
            </w:pPr>
            <w:r w:rsidRPr="00E45149">
              <w:rPr>
                <w:sz w:val="20"/>
                <w:szCs w:val="20"/>
              </w:rPr>
              <w:t>801</w:t>
            </w:r>
          </w:p>
        </w:tc>
      </w:tr>
      <w:tr w:rsidR="008A19EF" w:rsidRPr="009D2571" w:rsidTr="00E45149">
        <w:trPr>
          <w:trHeight w:val="296"/>
          <w:jc w:val="center"/>
        </w:trPr>
        <w:tc>
          <w:tcPr>
            <w:tcW w:w="1716" w:type="dxa"/>
            <w:shd w:val="clear" w:color="auto" w:fill="auto"/>
            <w:noWrap/>
            <w:vAlign w:val="center"/>
            <w:hideMark/>
          </w:tcPr>
          <w:p w:rsidR="008A19EF" w:rsidRPr="00E45149" w:rsidRDefault="008A19EF" w:rsidP="007A73E2">
            <w:pPr>
              <w:spacing w:line="240" w:lineRule="auto"/>
              <w:contextualSpacing/>
              <w:jc w:val="left"/>
              <w:rPr>
                <w:b/>
                <w:color w:val="000000"/>
                <w:sz w:val="20"/>
                <w:szCs w:val="20"/>
              </w:rPr>
            </w:pPr>
            <w:r w:rsidRPr="00E45149">
              <w:rPr>
                <w:b/>
                <w:color w:val="000000"/>
                <w:sz w:val="20"/>
                <w:szCs w:val="20"/>
              </w:rPr>
              <w:t>Počet zrušených a zaniknutých živnostenských oprávnení</w:t>
            </w:r>
          </w:p>
        </w:tc>
        <w:tc>
          <w:tcPr>
            <w:tcW w:w="1105" w:type="dxa"/>
            <w:shd w:val="clear" w:color="auto" w:fill="auto"/>
            <w:noWrap/>
            <w:vAlign w:val="center"/>
            <w:hideMark/>
          </w:tcPr>
          <w:p w:rsidR="008A19EF" w:rsidRPr="00E45149" w:rsidRDefault="008A19EF" w:rsidP="00E45149">
            <w:pPr>
              <w:spacing w:line="240" w:lineRule="auto"/>
              <w:contextualSpacing/>
              <w:jc w:val="right"/>
              <w:rPr>
                <w:sz w:val="20"/>
                <w:szCs w:val="20"/>
              </w:rPr>
            </w:pPr>
            <w:r w:rsidRPr="00E45149">
              <w:rPr>
                <w:sz w:val="20"/>
                <w:szCs w:val="20"/>
              </w:rPr>
              <w:t>69</w:t>
            </w:r>
          </w:p>
        </w:tc>
        <w:tc>
          <w:tcPr>
            <w:tcW w:w="1106" w:type="dxa"/>
            <w:shd w:val="clear" w:color="auto" w:fill="auto"/>
            <w:noWrap/>
            <w:vAlign w:val="center"/>
            <w:hideMark/>
          </w:tcPr>
          <w:p w:rsidR="008A19EF" w:rsidRPr="00E45149" w:rsidRDefault="008A19EF" w:rsidP="00E45149">
            <w:pPr>
              <w:spacing w:line="240" w:lineRule="auto"/>
              <w:contextualSpacing/>
              <w:jc w:val="right"/>
              <w:rPr>
                <w:sz w:val="20"/>
                <w:szCs w:val="20"/>
              </w:rPr>
            </w:pPr>
            <w:r w:rsidRPr="00E45149">
              <w:rPr>
                <w:sz w:val="20"/>
                <w:szCs w:val="20"/>
              </w:rPr>
              <w:t>98</w:t>
            </w:r>
          </w:p>
        </w:tc>
        <w:tc>
          <w:tcPr>
            <w:tcW w:w="1106" w:type="dxa"/>
            <w:shd w:val="clear" w:color="auto" w:fill="auto"/>
            <w:noWrap/>
            <w:vAlign w:val="center"/>
            <w:hideMark/>
          </w:tcPr>
          <w:p w:rsidR="008A19EF" w:rsidRPr="00E45149" w:rsidRDefault="008A19EF" w:rsidP="00E45149">
            <w:pPr>
              <w:spacing w:line="240" w:lineRule="auto"/>
              <w:contextualSpacing/>
              <w:jc w:val="right"/>
              <w:rPr>
                <w:sz w:val="20"/>
                <w:szCs w:val="20"/>
              </w:rPr>
            </w:pPr>
            <w:r w:rsidRPr="00E45149">
              <w:rPr>
                <w:sz w:val="20"/>
                <w:szCs w:val="20"/>
              </w:rPr>
              <w:t>283</w:t>
            </w:r>
          </w:p>
        </w:tc>
        <w:tc>
          <w:tcPr>
            <w:tcW w:w="1106" w:type="dxa"/>
            <w:vAlign w:val="center"/>
          </w:tcPr>
          <w:p w:rsidR="008A19EF" w:rsidRPr="00E45149" w:rsidRDefault="008A19EF" w:rsidP="00E45149">
            <w:pPr>
              <w:spacing w:line="240" w:lineRule="auto"/>
              <w:contextualSpacing/>
              <w:jc w:val="right"/>
              <w:rPr>
                <w:sz w:val="20"/>
                <w:szCs w:val="20"/>
              </w:rPr>
            </w:pPr>
            <w:r w:rsidRPr="00E45149">
              <w:rPr>
                <w:sz w:val="20"/>
                <w:szCs w:val="20"/>
              </w:rPr>
              <w:t>288</w:t>
            </w:r>
          </w:p>
        </w:tc>
        <w:tc>
          <w:tcPr>
            <w:tcW w:w="1106" w:type="dxa"/>
            <w:vAlign w:val="center"/>
          </w:tcPr>
          <w:p w:rsidR="008A19EF" w:rsidRPr="00E45149" w:rsidRDefault="008A19EF" w:rsidP="00E45149">
            <w:pPr>
              <w:spacing w:line="240" w:lineRule="auto"/>
              <w:contextualSpacing/>
              <w:jc w:val="right"/>
              <w:rPr>
                <w:sz w:val="20"/>
                <w:szCs w:val="20"/>
              </w:rPr>
            </w:pPr>
            <w:r w:rsidRPr="00E45149">
              <w:rPr>
                <w:sz w:val="20"/>
                <w:szCs w:val="20"/>
              </w:rPr>
              <w:t>343</w:t>
            </w:r>
          </w:p>
        </w:tc>
      </w:tr>
    </w:tbl>
    <w:p w:rsidR="008A19EF" w:rsidRPr="00344365" w:rsidRDefault="00E45149" w:rsidP="00E45149">
      <w:pPr>
        <w:spacing w:line="240" w:lineRule="auto"/>
        <w:contextualSpacing/>
      </w:pPr>
      <w:r>
        <w:t xml:space="preserve">    </w:t>
      </w:r>
      <w:r w:rsidR="00413360">
        <w:t xml:space="preserve"> </w:t>
      </w:r>
      <w:r>
        <w:t xml:space="preserve">      </w:t>
      </w:r>
      <w:r w:rsidR="008A19EF" w:rsidRPr="009D2571">
        <w:t>Zdroj: Obvodný úrad Prievidza</w:t>
      </w:r>
      <w:r w:rsidR="008A19EF">
        <w:t>, Banská Bystrica a Stará Ľubovňa</w:t>
      </w:r>
      <w:r w:rsidR="008A19EF" w:rsidRPr="00344365">
        <w:rPr>
          <w:b/>
        </w:rPr>
        <w:t xml:space="preserve"> </w:t>
      </w:r>
    </w:p>
    <w:p w:rsidR="008A19EF" w:rsidRPr="00344365" w:rsidRDefault="008A19EF" w:rsidP="00E45149">
      <w:pPr>
        <w:contextualSpacing/>
      </w:pPr>
    </w:p>
    <w:p w:rsidR="007A73E2" w:rsidRDefault="007A73E2" w:rsidP="007A73E2">
      <w:pPr>
        <w:ind w:firstLine="708"/>
        <w:contextualSpacing/>
      </w:pPr>
      <w:r>
        <w:t>V</w:t>
      </w:r>
      <w:r w:rsidRPr="00B26E7E">
        <w:t xml:space="preserve">ývoj živnostníkov </w:t>
      </w:r>
      <w:r>
        <w:t xml:space="preserve">v obvodoch Prievidza, Banská Bystrica a Stará Ľubovňa mal </w:t>
      </w:r>
      <w:r w:rsidRPr="00B26E7E">
        <w:t xml:space="preserve">za jednotlivé roky, v rozmedzí od roku 2004 do roku 2008, kolísavý charakter. Ak by sme porovnávali počet nových podnikateľov v roku 2008 v porovnaní s rokom 2004, potom ich najväčší nárast (až o 1 980) bol zaznamenaný v Starej Ľubovni, k úbytku </w:t>
      </w:r>
      <w:r>
        <w:t xml:space="preserve">   </w:t>
      </w:r>
      <w:r w:rsidRPr="00B26E7E">
        <w:t>(o -61) došlo v Banskej Bystrici, ktorá však s priemerným počtom 1 809 dosahovala prvú priečku. V prípade rozhodnutí o pozastavení živnosti s priemerným počtom 1 482 dominovala Prievidza, kde bol evidovaný aj ich najväčší nárast (až o 619), naopak ich najmenší priemerný počet (780) bol v Starej Ľubovni. V oblasti zrušených a zaniknutých živnostenských oprávnení mala s priemerným počtom 1 210 a najväčším nárastom (až o 415) prvé miesto Prievidza, naopak Starej Ľubovni s priemerným počtom 216 a najmenším nárastom (len o 274) patrila posledná priečka.</w:t>
      </w:r>
    </w:p>
    <w:p w:rsidR="007A73E2" w:rsidRPr="007A73E2" w:rsidRDefault="007A73E2" w:rsidP="00B560E4">
      <w:pPr>
        <w:pStyle w:val="Odsekzoznamu"/>
        <w:numPr>
          <w:ilvl w:val="0"/>
          <w:numId w:val="80"/>
        </w:numPr>
        <w:spacing w:line="360" w:lineRule="auto"/>
        <w:ind w:left="714" w:hanging="357"/>
        <w:contextualSpacing/>
        <w:rPr>
          <w:sz w:val="24"/>
          <w:szCs w:val="24"/>
        </w:rPr>
      </w:pPr>
      <w:r w:rsidRPr="007A73E2">
        <w:rPr>
          <w:sz w:val="24"/>
          <w:szCs w:val="24"/>
        </w:rPr>
        <w:lastRenderedPageBreak/>
        <w:t>živnostenské úrady, ktoré poskytli údaje len za roky 2007 a 2008             (Košice, Košice a okolie, Trebišov)</w:t>
      </w:r>
    </w:p>
    <w:p w:rsidR="007A73E2" w:rsidRDefault="007A73E2" w:rsidP="007A73E2">
      <w:pPr>
        <w:ind w:left="720"/>
        <w:contextualSpacing/>
      </w:pPr>
    </w:p>
    <w:p w:rsidR="007A73E2" w:rsidRDefault="007A73E2" w:rsidP="007A73E2">
      <w:pPr>
        <w:spacing w:line="240" w:lineRule="auto"/>
        <w:contextualSpacing/>
      </w:pPr>
      <w:r>
        <w:rPr>
          <w:b/>
        </w:rPr>
        <w:t xml:space="preserve">        </w:t>
      </w:r>
      <w:r w:rsidRPr="003757AF">
        <w:rPr>
          <w:b/>
        </w:rPr>
        <w:t>Vývoj živnostníkov vo vybraných Obvodných úradoch</w:t>
      </w:r>
      <w:r w:rsidRPr="003757AF">
        <w:rPr>
          <w:b/>
          <w:noProof/>
        </w:rPr>
        <w:t xml:space="preserve"> </w:t>
      </w:r>
      <w:r>
        <w:rPr>
          <w:b/>
          <w:noProof/>
        </w:rPr>
        <w:t>2</w:t>
      </w:r>
      <w:r w:rsidRPr="003757AF">
        <w:rPr>
          <w:b/>
          <w:noProof/>
        </w:rPr>
        <w:t xml:space="preserve">  </w:t>
      </w:r>
      <w:r>
        <w:rPr>
          <w:b/>
          <w:noProof/>
        </w:rPr>
        <w:t xml:space="preserve">  </w:t>
      </w:r>
      <w:r w:rsidRPr="003757AF">
        <w:rPr>
          <w:b/>
          <w:noProof/>
        </w:rPr>
        <w:t xml:space="preserve">  </w:t>
      </w:r>
      <w:r>
        <w:rPr>
          <w:b/>
          <w:noProof/>
        </w:rPr>
        <w:t xml:space="preserve">     </w:t>
      </w:r>
      <w:r w:rsidRPr="003757AF">
        <w:rPr>
          <w:b/>
          <w:noProof/>
        </w:rPr>
        <w:t xml:space="preserve">Tabuľka </w:t>
      </w:r>
      <w:r>
        <w:rPr>
          <w:b/>
          <w:noProof/>
        </w:rPr>
        <w:t>8</w:t>
      </w:r>
    </w:p>
    <w:tbl>
      <w:tblPr>
        <w:tblW w:w="7518" w:type="dxa"/>
        <w:jc w:val="center"/>
        <w:tblInd w:w="-156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4A0"/>
      </w:tblPr>
      <w:tblGrid>
        <w:gridCol w:w="3330"/>
        <w:gridCol w:w="397"/>
        <w:gridCol w:w="1460"/>
        <w:gridCol w:w="385"/>
        <w:gridCol w:w="1946"/>
      </w:tblGrid>
      <w:tr w:rsidR="007A73E2" w:rsidRPr="009D2571" w:rsidTr="007A73E2">
        <w:trPr>
          <w:trHeight w:val="296"/>
          <w:jc w:val="center"/>
        </w:trPr>
        <w:tc>
          <w:tcPr>
            <w:tcW w:w="3727" w:type="dxa"/>
            <w:gridSpan w:val="2"/>
            <w:tcBorders>
              <w:top w:val="single" w:sz="18" w:space="0" w:color="auto"/>
              <w:bottom w:val="single" w:sz="18" w:space="0" w:color="auto"/>
            </w:tcBorders>
            <w:shd w:val="clear" w:color="auto" w:fill="auto"/>
            <w:noWrap/>
            <w:vAlign w:val="center"/>
            <w:hideMark/>
          </w:tcPr>
          <w:p w:rsidR="007A73E2" w:rsidRPr="007A73E2" w:rsidRDefault="007A73E2" w:rsidP="007A73E2">
            <w:pPr>
              <w:spacing w:line="240" w:lineRule="auto"/>
              <w:contextualSpacing/>
              <w:jc w:val="center"/>
              <w:rPr>
                <w:b/>
                <w:sz w:val="20"/>
                <w:szCs w:val="20"/>
              </w:rPr>
            </w:pPr>
            <w:r w:rsidRPr="007A73E2">
              <w:rPr>
                <w:b/>
                <w:sz w:val="20"/>
                <w:szCs w:val="20"/>
              </w:rPr>
              <w:t>Rok</w:t>
            </w:r>
          </w:p>
        </w:tc>
        <w:tc>
          <w:tcPr>
            <w:tcW w:w="1845" w:type="dxa"/>
            <w:gridSpan w:val="2"/>
            <w:tcBorders>
              <w:top w:val="single" w:sz="18" w:space="0" w:color="auto"/>
              <w:bottom w:val="single" w:sz="18" w:space="0" w:color="auto"/>
            </w:tcBorders>
            <w:shd w:val="clear" w:color="auto" w:fill="auto"/>
            <w:vAlign w:val="center"/>
          </w:tcPr>
          <w:p w:rsidR="007A73E2" w:rsidRPr="007A73E2" w:rsidRDefault="007A73E2" w:rsidP="007A73E2">
            <w:pPr>
              <w:spacing w:line="240" w:lineRule="auto"/>
              <w:contextualSpacing/>
              <w:jc w:val="center"/>
              <w:rPr>
                <w:b/>
                <w:sz w:val="20"/>
                <w:szCs w:val="20"/>
              </w:rPr>
            </w:pPr>
            <w:r w:rsidRPr="007A73E2">
              <w:rPr>
                <w:b/>
                <w:sz w:val="20"/>
                <w:szCs w:val="20"/>
              </w:rPr>
              <w:t>2007</w:t>
            </w:r>
          </w:p>
        </w:tc>
        <w:tc>
          <w:tcPr>
            <w:tcW w:w="1946" w:type="dxa"/>
            <w:tcBorders>
              <w:top w:val="single" w:sz="18" w:space="0" w:color="auto"/>
              <w:bottom w:val="single" w:sz="18" w:space="0" w:color="auto"/>
            </w:tcBorders>
            <w:shd w:val="clear" w:color="auto" w:fill="auto"/>
            <w:vAlign w:val="center"/>
          </w:tcPr>
          <w:p w:rsidR="007A73E2" w:rsidRPr="007A73E2" w:rsidRDefault="007A73E2" w:rsidP="007A73E2">
            <w:pPr>
              <w:spacing w:line="240" w:lineRule="auto"/>
              <w:contextualSpacing/>
              <w:jc w:val="center"/>
              <w:rPr>
                <w:b/>
                <w:sz w:val="20"/>
                <w:szCs w:val="20"/>
              </w:rPr>
            </w:pPr>
            <w:r w:rsidRPr="007A73E2">
              <w:rPr>
                <w:b/>
                <w:sz w:val="20"/>
                <w:szCs w:val="20"/>
              </w:rPr>
              <w:t>2008</w:t>
            </w:r>
          </w:p>
        </w:tc>
      </w:tr>
      <w:tr w:rsidR="007A73E2" w:rsidRPr="009D2571" w:rsidTr="007A73E2">
        <w:trPr>
          <w:trHeight w:val="296"/>
          <w:jc w:val="center"/>
        </w:trPr>
        <w:tc>
          <w:tcPr>
            <w:tcW w:w="7518" w:type="dxa"/>
            <w:gridSpan w:val="5"/>
            <w:tcBorders>
              <w:top w:val="single" w:sz="18" w:space="0" w:color="auto"/>
              <w:bottom w:val="single" w:sz="18" w:space="0" w:color="auto"/>
            </w:tcBorders>
            <w:shd w:val="clear" w:color="auto" w:fill="FFFF00"/>
            <w:noWrap/>
            <w:vAlign w:val="center"/>
            <w:hideMark/>
          </w:tcPr>
          <w:p w:rsidR="007A73E2" w:rsidRPr="007A73E2" w:rsidRDefault="007A73E2" w:rsidP="007A73E2">
            <w:pPr>
              <w:spacing w:line="240" w:lineRule="auto"/>
              <w:contextualSpacing/>
              <w:jc w:val="center"/>
              <w:rPr>
                <w:sz w:val="20"/>
                <w:szCs w:val="20"/>
              </w:rPr>
            </w:pPr>
            <w:r w:rsidRPr="007A73E2">
              <w:rPr>
                <w:b/>
                <w:sz w:val="20"/>
                <w:szCs w:val="20"/>
              </w:rPr>
              <w:t>Živnostenský (Obvodný) úrad Košice</w:t>
            </w:r>
          </w:p>
        </w:tc>
      </w:tr>
      <w:tr w:rsidR="007A73E2" w:rsidRPr="009D2571" w:rsidTr="007A73E2">
        <w:trPr>
          <w:trHeight w:val="296"/>
          <w:jc w:val="center"/>
        </w:trPr>
        <w:tc>
          <w:tcPr>
            <w:tcW w:w="3330" w:type="dxa"/>
            <w:tcBorders>
              <w:top w:val="single" w:sz="18" w:space="0" w:color="auto"/>
            </w:tcBorders>
            <w:shd w:val="clear" w:color="auto" w:fill="auto"/>
            <w:noWrap/>
            <w:vAlign w:val="center"/>
            <w:hideMark/>
          </w:tcPr>
          <w:p w:rsidR="007A73E2" w:rsidRPr="007A73E2" w:rsidRDefault="007A73E2" w:rsidP="007A73E2">
            <w:pPr>
              <w:spacing w:line="240" w:lineRule="auto"/>
              <w:contextualSpacing/>
              <w:jc w:val="left"/>
              <w:rPr>
                <w:b/>
                <w:color w:val="000000"/>
                <w:sz w:val="20"/>
                <w:szCs w:val="20"/>
              </w:rPr>
            </w:pPr>
            <w:r w:rsidRPr="007A73E2">
              <w:rPr>
                <w:b/>
                <w:color w:val="000000"/>
                <w:sz w:val="20"/>
                <w:szCs w:val="20"/>
              </w:rPr>
              <w:t>Počet nových podnikateľov</w:t>
            </w:r>
          </w:p>
        </w:tc>
        <w:tc>
          <w:tcPr>
            <w:tcW w:w="1857" w:type="dxa"/>
            <w:gridSpan w:val="2"/>
            <w:tcBorders>
              <w:top w:val="single" w:sz="18" w:space="0" w:color="auto"/>
            </w:tcBorders>
            <w:vAlign w:val="center"/>
          </w:tcPr>
          <w:p w:rsidR="007A73E2" w:rsidRPr="007A73E2" w:rsidRDefault="007A73E2" w:rsidP="007A73E2">
            <w:pPr>
              <w:spacing w:line="240" w:lineRule="auto"/>
              <w:contextualSpacing/>
              <w:jc w:val="right"/>
              <w:rPr>
                <w:sz w:val="20"/>
                <w:szCs w:val="20"/>
              </w:rPr>
            </w:pPr>
            <w:r w:rsidRPr="007A73E2">
              <w:rPr>
                <w:sz w:val="20"/>
                <w:szCs w:val="20"/>
              </w:rPr>
              <w:t>2309</w:t>
            </w:r>
          </w:p>
        </w:tc>
        <w:tc>
          <w:tcPr>
            <w:tcW w:w="2331" w:type="dxa"/>
            <w:gridSpan w:val="2"/>
            <w:tcBorders>
              <w:top w:val="single" w:sz="18" w:space="0" w:color="auto"/>
            </w:tcBorders>
            <w:vAlign w:val="center"/>
          </w:tcPr>
          <w:p w:rsidR="007A73E2" w:rsidRPr="007A73E2" w:rsidRDefault="007A73E2" w:rsidP="007A73E2">
            <w:pPr>
              <w:spacing w:line="240" w:lineRule="auto"/>
              <w:contextualSpacing/>
              <w:jc w:val="right"/>
              <w:rPr>
                <w:sz w:val="20"/>
                <w:szCs w:val="20"/>
              </w:rPr>
            </w:pPr>
            <w:r w:rsidRPr="007A73E2">
              <w:rPr>
                <w:sz w:val="20"/>
                <w:szCs w:val="20"/>
              </w:rPr>
              <w:t>2494</w:t>
            </w:r>
          </w:p>
        </w:tc>
      </w:tr>
      <w:tr w:rsidR="007A73E2" w:rsidRPr="009D2571" w:rsidTr="007A73E2">
        <w:trPr>
          <w:trHeight w:val="296"/>
          <w:jc w:val="center"/>
        </w:trPr>
        <w:tc>
          <w:tcPr>
            <w:tcW w:w="3330" w:type="dxa"/>
            <w:shd w:val="clear" w:color="auto" w:fill="auto"/>
            <w:noWrap/>
            <w:vAlign w:val="center"/>
            <w:hideMark/>
          </w:tcPr>
          <w:p w:rsidR="007A73E2" w:rsidRPr="007A73E2" w:rsidRDefault="007A73E2" w:rsidP="007A73E2">
            <w:pPr>
              <w:spacing w:line="240" w:lineRule="auto"/>
              <w:contextualSpacing/>
              <w:jc w:val="left"/>
              <w:rPr>
                <w:color w:val="000000"/>
                <w:sz w:val="20"/>
                <w:szCs w:val="20"/>
              </w:rPr>
            </w:pPr>
            <w:r w:rsidRPr="007A73E2">
              <w:rPr>
                <w:b/>
                <w:color w:val="000000"/>
                <w:sz w:val="20"/>
                <w:szCs w:val="20"/>
              </w:rPr>
              <w:t>Počet rozhodnutí o pozastavení živnosti</w:t>
            </w:r>
          </w:p>
        </w:tc>
        <w:tc>
          <w:tcPr>
            <w:tcW w:w="1857" w:type="dxa"/>
            <w:gridSpan w:val="2"/>
            <w:vAlign w:val="center"/>
          </w:tcPr>
          <w:p w:rsidR="007A73E2" w:rsidRPr="007A73E2" w:rsidRDefault="007A73E2" w:rsidP="007A73E2">
            <w:pPr>
              <w:spacing w:line="240" w:lineRule="auto"/>
              <w:contextualSpacing/>
              <w:jc w:val="right"/>
              <w:rPr>
                <w:sz w:val="20"/>
                <w:szCs w:val="20"/>
              </w:rPr>
            </w:pPr>
            <w:r w:rsidRPr="007A73E2">
              <w:rPr>
                <w:sz w:val="20"/>
                <w:szCs w:val="20"/>
              </w:rPr>
              <w:t>1846</w:t>
            </w:r>
          </w:p>
        </w:tc>
        <w:tc>
          <w:tcPr>
            <w:tcW w:w="2331" w:type="dxa"/>
            <w:gridSpan w:val="2"/>
            <w:vAlign w:val="center"/>
          </w:tcPr>
          <w:p w:rsidR="007A73E2" w:rsidRPr="007A73E2" w:rsidRDefault="007A73E2" w:rsidP="007A73E2">
            <w:pPr>
              <w:spacing w:line="240" w:lineRule="auto"/>
              <w:contextualSpacing/>
              <w:jc w:val="right"/>
              <w:rPr>
                <w:sz w:val="20"/>
                <w:szCs w:val="20"/>
              </w:rPr>
            </w:pPr>
            <w:r w:rsidRPr="007A73E2">
              <w:rPr>
                <w:sz w:val="20"/>
                <w:szCs w:val="20"/>
              </w:rPr>
              <w:t>1837</w:t>
            </w:r>
          </w:p>
        </w:tc>
      </w:tr>
      <w:tr w:rsidR="007A73E2" w:rsidRPr="009D2571" w:rsidTr="007A73E2">
        <w:trPr>
          <w:trHeight w:val="296"/>
          <w:jc w:val="center"/>
        </w:trPr>
        <w:tc>
          <w:tcPr>
            <w:tcW w:w="3330" w:type="dxa"/>
            <w:tcBorders>
              <w:bottom w:val="single" w:sz="18" w:space="0" w:color="auto"/>
            </w:tcBorders>
            <w:shd w:val="clear" w:color="auto" w:fill="auto"/>
            <w:noWrap/>
            <w:vAlign w:val="center"/>
            <w:hideMark/>
          </w:tcPr>
          <w:p w:rsidR="007A73E2" w:rsidRPr="007A73E2" w:rsidRDefault="007A73E2" w:rsidP="007A73E2">
            <w:pPr>
              <w:spacing w:line="240" w:lineRule="auto"/>
              <w:contextualSpacing/>
              <w:jc w:val="left"/>
              <w:rPr>
                <w:b/>
                <w:color w:val="000000"/>
                <w:sz w:val="20"/>
                <w:szCs w:val="20"/>
              </w:rPr>
            </w:pPr>
            <w:r w:rsidRPr="007A73E2">
              <w:rPr>
                <w:b/>
                <w:color w:val="000000"/>
                <w:sz w:val="20"/>
                <w:szCs w:val="20"/>
              </w:rPr>
              <w:t>Počet zrušených a zaniknutých živnostenských oprávnení</w:t>
            </w:r>
          </w:p>
        </w:tc>
        <w:tc>
          <w:tcPr>
            <w:tcW w:w="1857" w:type="dxa"/>
            <w:gridSpan w:val="2"/>
            <w:tcBorders>
              <w:bottom w:val="single" w:sz="18" w:space="0" w:color="auto"/>
            </w:tcBorders>
            <w:vAlign w:val="center"/>
          </w:tcPr>
          <w:p w:rsidR="007A73E2" w:rsidRPr="007A73E2" w:rsidRDefault="007A73E2" w:rsidP="007A73E2">
            <w:pPr>
              <w:spacing w:line="240" w:lineRule="auto"/>
              <w:contextualSpacing/>
              <w:jc w:val="right"/>
              <w:rPr>
                <w:sz w:val="20"/>
                <w:szCs w:val="20"/>
              </w:rPr>
            </w:pPr>
            <w:r w:rsidRPr="007A73E2">
              <w:rPr>
                <w:sz w:val="20"/>
                <w:szCs w:val="20"/>
              </w:rPr>
              <w:t>1384</w:t>
            </w:r>
          </w:p>
        </w:tc>
        <w:tc>
          <w:tcPr>
            <w:tcW w:w="2331" w:type="dxa"/>
            <w:gridSpan w:val="2"/>
            <w:tcBorders>
              <w:bottom w:val="single" w:sz="18" w:space="0" w:color="auto"/>
            </w:tcBorders>
            <w:vAlign w:val="center"/>
          </w:tcPr>
          <w:p w:rsidR="007A73E2" w:rsidRPr="007A73E2" w:rsidRDefault="007A73E2" w:rsidP="007A73E2">
            <w:pPr>
              <w:spacing w:line="240" w:lineRule="auto"/>
              <w:contextualSpacing/>
              <w:jc w:val="right"/>
              <w:rPr>
                <w:sz w:val="20"/>
                <w:szCs w:val="20"/>
              </w:rPr>
            </w:pPr>
            <w:r w:rsidRPr="007A73E2">
              <w:rPr>
                <w:sz w:val="20"/>
                <w:szCs w:val="20"/>
              </w:rPr>
              <w:t>1519</w:t>
            </w:r>
          </w:p>
        </w:tc>
      </w:tr>
      <w:tr w:rsidR="007A73E2" w:rsidRPr="009D2571" w:rsidTr="007A73E2">
        <w:trPr>
          <w:trHeight w:val="296"/>
          <w:jc w:val="center"/>
        </w:trPr>
        <w:tc>
          <w:tcPr>
            <w:tcW w:w="7518" w:type="dxa"/>
            <w:gridSpan w:val="5"/>
            <w:tcBorders>
              <w:top w:val="single" w:sz="18" w:space="0" w:color="auto"/>
              <w:bottom w:val="single" w:sz="18" w:space="0" w:color="auto"/>
            </w:tcBorders>
            <w:shd w:val="clear" w:color="auto" w:fill="FFFF00"/>
            <w:noWrap/>
            <w:vAlign w:val="center"/>
            <w:hideMark/>
          </w:tcPr>
          <w:p w:rsidR="007A73E2" w:rsidRPr="007A73E2" w:rsidRDefault="007A73E2" w:rsidP="007A73E2">
            <w:pPr>
              <w:spacing w:line="240" w:lineRule="auto"/>
              <w:contextualSpacing/>
              <w:jc w:val="center"/>
              <w:rPr>
                <w:sz w:val="20"/>
                <w:szCs w:val="20"/>
              </w:rPr>
            </w:pPr>
            <w:r w:rsidRPr="007A73E2">
              <w:rPr>
                <w:b/>
                <w:sz w:val="20"/>
                <w:szCs w:val="20"/>
              </w:rPr>
              <w:t>Živnostenský (Obvodný) úrad Košice a okolie</w:t>
            </w:r>
          </w:p>
        </w:tc>
      </w:tr>
      <w:tr w:rsidR="007A73E2" w:rsidRPr="009D2571" w:rsidTr="007A73E2">
        <w:trPr>
          <w:trHeight w:val="296"/>
          <w:jc w:val="center"/>
        </w:trPr>
        <w:tc>
          <w:tcPr>
            <w:tcW w:w="3330" w:type="dxa"/>
            <w:tcBorders>
              <w:top w:val="single" w:sz="18" w:space="0" w:color="auto"/>
              <w:bottom w:val="single" w:sz="6" w:space="0" w:color="auto"/>
            </w:tcBorders>
            <w:shd w:val="clear" w:color="auto" w:fill="auto"/>
            <w:noWrap/>
            <w:vAlign w:val="center"/>
            <w:hideMark/>
          </w:tcPr>
          <w:p w:rsidR="007A73E2" w:rsidRPr="007A73E2" w:rsidRDefault="007A73E2" w:rsidP="007A73E2">
            <w:pPr>
              <w:spacing w:line="240" w:lineRule="auto"/>
              <w:contextualSpacing/>
              <w:jc w:val="left"/>
              <w:rPr>
                <w:b/>
                <w:color w:val="000000"/>
                <w:sz w:val="20"/>
                <w:szCs w:val="20"/>
              </w:rPr>
            </w:pPr>
            <w:r w:rsidRPr="007A73E2">
              <w:rPr>
                <w:b/>
                <w:color w:val="000000"/>
                <w:sz w:val="20"/>
                <w:szCs w:val="20"/>
              </w:rPr>
              <w:t>Počet nových podnikateľov</w:t>
            </w:r>
          </w:p>
        </w:tc>
        <w:tc>
          <w:tcPr>
            <w:tcW w:w="1857" w:type="dxa"/>
            <w:gridSpan w:val="2"/>
            <w:tcBorders>
              <w:top w:val="single" w:sz="18" w:space="0" w:color="auto"/>
              <w:bottom w:val="single" w:sz="6" w:space="0" w:color="auto"/>
            </w:tcBorders>
            <w:vAlign w:val="center"/>
          </w:tcPr>
          <w:p w:rsidR="007A73E2" w:rsidRPr="007A73E2" w:rsidRDefault="007A73E2" w:rsidP="007A73E2">
            <w:pPr>
              <w:spacing w:line="240" w:lineRule="auto"/>
              <w:contextualSpacing/>
              <w:jc w:val="right"/>
              <w:rPr>
                <w:sz w:val="20"/>
                <w:szCs w:val="20"/>
              </w:rPr>
            </w:pPr>
            <w:r w:rsidRPr="007A73E2">
              <w:rPr>
                <w:sz w:val="20"/>
                <w:szCs w:val="20"/>
              </w:rPr>
              <w:t>-</w:t>
            </w:r>
          </w:p>
        </w:tc>
        <w:tc>
          <w:tcPr>
            <w:tcW w:w="2331" w:type="dxa"/>
            <w:gridSpan w:val="2"/>
            <w:tcBorders>
              <w:top w:val="single" w:sz="18" w:space="0" w:color="auto"/>
              <w:bottom w:val="single" w:sz="6" w:space="0" w:color="auto"/>
            </w:tcBorders>
            <w:vAlign w:val="center"/>
          </w:tcPr>
          <w:p w:rsidR="007A73E2" w:rsidRPr="007A73E2" w:rsidRDefault="007A73E2" w:rsidP="007A73E2">
            <w:pPr>
              <w:spacing w:line="240" w:lineRule="auto"/>
              <w:contextualSpacing/>
              <w:jc w:val="right"/>
              <w:rPr>
                <w:sz w:val="20"/>
                <w:szCs w:val="20"/>
              </w:rPr>
            </w:pPr>
            <w:r w:rsidRPr="007A73E2">
              <w:rPr>
                <w:sz w:val="20"/>
                <w:szCs w:val="20"/>
              </w:rPr>
              <w:t>-</w:t>
            </w:r>
          </w:p>
        </w:tc>
      </w:tr>
      <w:tr w:rsidR="007A73E2" w:rsidRPr="009D2571" w:rsidTr="007A73E2">
        <w:trPr>
          <w:trHeight w:val="296"/>
          <w:jc w:val="center"/>
        </w:trPr>
        <w:tc>
          <w:tcPr>
            <w:tcW w:w="3330" w:type="dxa"/>
            <w:tcBorders>
              <w:top w:val="single" w:sz="6" w:space="0" w:color="auto"/>
              <w:bottom w:val="single" w:sz="6" w:space="0" w:color="auto"/>
            </w:tcBorders>
            <w:shd w:val="clear" w:color="auto" w:fill="auto"/>
            <w:noWrap/>
            <w:vAlign w:val="center"/>
            <w:hideMark/>
          </w:tcPr>
          <w:p w:rsidR="007A73E2" w:rsidRPr="007A73E2" w:rsidRDefault="007A73E2" w:rsidP="007A73E2">
            <w:pPr>
              <w:spacing w:line="240" w:lineRule="auto"/>
              <w:contextualSpacing/>
              <w:jc w:val="left"/>
              <w:rPr>
                <w:color w:val="000000"/>
                <w:sz w:val="20"/>
                <w:szCs w:val="20"/>
              </w:rPr>
            </w:pPr>
            <w:r w:rsidRPr="007A73E2">
              <w:rPr>
                <w:b/>
                <w:color w:val="000000"/>
                <w:sz w:val="20"/>
                <w:szCs w:val="20"/>
              </w:rPr>
              <w:t>Počet rozhodnutí o pozastavení živnosti</w:t>
            </w:r>
          </w:p>
        </w:tc>
        <w:tc>
          <w:tcPr>
            <w:tcW w:w="1857" w:type="dxa"/>
            <w:gridSpan w:val="2"/>
            <w:tcBorders>
              <w:top w:val="single" w:sz="6" w:space="0" w:color="auto"/>
              <w:bottom w:val="single" w:sz="6" w:space="0" w:color="auto"/>
            </w:tcBorders>
            <w:vAlign w:val="center"/>
          </w:tcPr>
          <w:p w:rsidR="007A73E2" w:rsidRPr="007A73E2" w:rsidRDefault="007A73E2" w:rsidP="007A73E2">
            <w:pPr>
              <w:spacing w:line="240" w:lineRule="auto"/>
              <w:contextualSpacing/>
              <w:jc w:val="right"/>
              <w:rPr>
                <w:sz w:val="20"/>
                <w:szCs w:val="20"/>
              </w:rPr>
            </w:pPr>
            <w:r w:rsidRPr="007A73E2">
              <w:rPr>
                <w:sz w:val="20"/>
                <w:szCs w:val="20"/>
              </w:rPr>
              <w:t>532</w:t>
            </w:r>
          </w:p>
        </w:tc>
        <w:tc>
          <w:tcPr>
            <w:tcW w:w="2331" w:type="dxa"/>
            <w:gridSpan w:val="2"/>
            <w:tcBorders>
              <w:top w:val="single" w:sz="6" w:space="0" w:color="auto"/>
              <w:bottom w:val="single" w:sz="6" w:space="0" w:color="auto"/>
            </w:tcBorders>
            <w:vAlign w:val="center"/>
          </w:tcPr>
          <w:p w:rsidR="007A73E2" w:rsidRPr="007A73E2" w:rsidRDefault="007A73E2" w:rsidP="007A73E2">
            <w:pPr>
              <w:spacing w:line="240" w:lineRule="auto"/>
              <w:contextualSpacing/>
              <w:jc w:val="right"/>
              <w:rPr>
                <w:sz w:val="20"/>
                <w:szCs w:val="20"/>
              </w:rPr>
            </w:pPr>
            <w:r w:rsidRPr="007A73E2">
              <w:rPr>
                <w:sz w:val="20"/>
                <w:szCs w:val="20"/>
              </w:rPr>
              <w:t>506</w:t>
            </w:r>
          </w:p>
        </w:tc>
      </w:tr>
      <w:tr w:rsidR="007A73E2" w:rsidRPr="009D2571" w:rsidTr="007A73E2">
        <w:trPr>
          <w:trHeight w:val="296"/>
          <w:jc w:val="center"/>
        </w:trPr>
        <w:tc>
          <w:tcPr>
            <w:tcW w:w="3330" w:type="dxa"/>
            <w:tcBorders>
              <w:top w:val="single" w:sz="6" w:space="0" w:color="auto"/>
              <w:bottom w:val="single" w:sz="18" w:space="0" w:color="auto"/>
            </w:tcBorders>
            <w:shd w:val="clear" w:color="auto" w:fill="auto"/>
            <w:noWrap/>
            <w:vAlign w:val="center"/>
            <w:hideMark/>
          </w:tcPr>
          <w:p w:rsidR="007A73E2" w:rsidRPr="007A73E2" w:rsidRDefault="007A73E2" w:rsidP="007A73E2">
            <w:pPr>
              <w:spacing w:line="240" w:lineRule="auto"/>
              <w:contextualSpacing/>
              <w:jc w:val="left"/>
              <w:rPr>
                <w:b/>
                <w:color w:val="000000"/>
                <w:sz w:val="20"/>
                <w:szCs w:val="20"/>
              </w:rPr>
            </w:pPr>
            <w:r w:rsidRPr="007A73E2">
              <w:rPr>
                <w:b/>
                <w:color w:val="000000"/>
                <w:sz w:val="20"/>
                <w:szCs w:val="20"/>
              </w:rPr>
              <w:t>Počet zrušených a zaniknutých živnostenských oprávnení</w:t>
            </w:r>
          </w:p>
        </w:tc>
        <w:tc>
          <w:tcPr>
            <w:tcW w:w="1857" w:type="dxa"/>
            <w:gridSpan w:val="2"/>
            <w:tcBorders>
              <w:top w:val="single" w:sz="6" w:space="0" w:color="auto"/>
              <w:bottom w:val="single" w:sz="18" w:space="0" w:color="auto"/>
            </w:tcBorders>
            <w:vAlign w:val="center"/>
          </w:tcPr>
          <w:p w:rsidR="007A73E2" w:rsidRPr="007A73E2" w:rsidRDefault="007A73E2" w:rsidP="007A73E2">
            <w:pPr>
              <w:spacing w:line="240" w:lineRule="auto"/>
              <w:contextualSpacing/>
              <w:jc w:val="right"/>
              <w:rPr>
                <w:sz w:val="20"/>
                <w:szCs w:val="20"/>
              </w:rPr>
            </w:pPr>
            <w:r w:rsidRPr="007A73E2">
              <w:rPr>
                <w:sz w:val="20"/>
                <w:szCs w:val="20"/>
              </w:rPr>
              <w:t>408</w:t>
            </w:r>
          </w:p>
        </w:tc>
        <w:tc>
          <w:tcPr>
            <w:tcW w:w="2331" w:type="dxa"/>
            <w:gridSpan w:val="2"/>
            <w:tcBorders>
              <w:top w:val="single" w:sz="6" w:space="0" w:color="auto"/>
              <w:bottom w:val="single" w:sz="18" w:space="0" w:color="auto"/>
            </w:tcBorders>
            <w:vAlign w:val="center"/>
          </w:tcPr>
          <w:p w:rsidR="007A73E2" w:rsidRPr="007A73E2" w:rsidRDefault="007A73E2" w:rsidP="007A73E2">
            <w:pPr>
              <w:spacing w:line="240" w:lineRule="auto"/>
              <w:contextualSpacing/>
              <w:jc w:val="right"/>
              <w:rPr>
                <w:sz w:val="20"/>
                <w:szCs w:val="20"/>
              </w:rPr>
            </w:pPr>
            <w:r w:rsidRPr="007A73E2">
              <w:rPr>
                <w:sz w:val="20"/>
                <w:szCs w:val="20"/>
              </w:rPr>
              <w:t>595</w:t>
            </w:r>
          </w:p>
        </w:tc>
      </w:tr>
      <w:tr w:rsidR="007A73E2" w:rsidRPr="009D2571" w:rsidTr="007A73E2">
        <w:trPr>
          <w:trHeight w:val="296"/>
          <w:jc w:val="center"/>
        </w:trPr>
        <w:tc>
          <w:tcPr>
            <w:tcW w:w="7518" w:type="dxa"/>
            <w:gridSpan w:val="5"/>
            <w:tcBorders>
              <w:top w:val="single" w:sz="18" w:space="0" w:color="auto"/>
              <w:bottom w:val="single" w:sz="18" w:space="0" w:color="auto"/>
            </w:tcBorders>
            <w:shd w:val="clear" w:color="auto" w:fill="FFFF00"/>
            <w:noWrap/>
            <w:vAlign w:val="center"/>
            <w:hideMark/>
          </w:tcPr>
          <w:p w:rsidR="007A73E2" w:rsidRPr="007A73E2" w:rsidRDefault="007A73E2" w:rsidP="007A73E2">
            <w:pPr>
              <w:spacing w:line="240" w:lineRule="auto"/>
              <w:contextualSpacing/>
              <w:jc w:val="center"/>
              <w:rPr>
                <w:sz w:val="20"/>
                <w:szCs w:val="20"/>
              </w:rPr>
            </w:pPr>
            <w:r w:rsidRPr="007A73E2">
              <w:rPr>
                <w:b/>
                <w:sz w:val="20"/>
                <w:szCs w:val="20"/>
              </w:rPr>
              <w:t>Živnostenský (Obvodný) úrad Trebišov</w:t>
            </w:r>
          </w:p>
        </w:tc>
      </w:tr>
      <w:tr w:rsidR="007A73E2" w:rsidRPr="009D2571" w:rsidTr="007A73E2">
        <w:trPr>
          <w:trHeight w:val="296"/>
          <w:jc w:val="center"/>
        </w:trPr>
        <w:tc>
          <w:tcPr>
            <w:tcW w:w="3330" w:type="dxa"/>
            <w:tcBorders>
              <w:top w:val="single" w:sz="18" w:space="0" w:color="auto"/>
            </w:tcBorders>
            <w:shd w:val="clear" w:color="auto" w:fill="auto"/>
            <w:noWrap/>
            <w:vAlign w:val="center"/>
            <w:hideMark/>
          </w:tcPr>
          <w:p w:rsidR="007A73E2" w:rsidRPr="007A73E2" w:rsidRDefault="007A73E2" w:rsidP="007A73E2">
            <w:pPr>
              <w:spacing w:line="240" w:lineRule="auto"/>
              <w:contextualSpacing/>
              <w:jc w:val="left"/>
              <w:rPr>
                <w:b/>
                <w:color w:val="000000"/>
                <w:sz w:val="20"/>
                <w:szCs w:val="20"/>
              </w:rPr>
            </w:pPr>
            <w:r w:rsidRPr="007A73E2">
              <w:rPr>
                <w:b/>
                <w:color w:val="000000"/>
                <w:sz w:val="20"/>
                <w:szCs w:val="20"/>
              </w:rPr>
              <w:t>Počet nových podnikateľov</w:t>
            </w:r>
          </w:p>
        </w:tc>
        <w:tc>
          <w:tcPr>
            <w:tcW w:w="1857" w:type="dxa"/>
            <w:gridSpan w:val="2"/>
            <w:tcBorders>
              <w:top w:val="single" w:sz="18" w:space="0" w:color="auto"/>
            </w:tcBorders>
            <w:vAlign w:val="center"/>
          </w:tcPr>
          <w:p w:rsidR="007A73E2" w:rsidRPr="007A73E2" w:rsidRDefault="007A73E2" w:rsidP="007A73E2">
            <w:pPr>
              <w:spacing w:line="240" w:lineRule="auto"/>
              <w:contextualSpacing/>
              <w:jc w:val="right"/>
              <w:rPr>
                <w:sz w:val="20"/>
                <w:szCs w:val="20"/>
              </w:rPr>
            </w:pPr>
            <w:r w:rsidRPr="007A73E2">
              <w:rPr>
                <w:sz w:val="20"/>
                <w:szCs w:val="20"/>
              </w:rPr>
              <w:t>786</w:t>
            </w:r>
          </w:p>
        </w:tc>
        <w:tc>
          <w:tcPr>
            <w:tcW w:w="2331" w:type="dxa"/>
            <w:gridSpan w:val="2"/>
            <w:tcBorders>
              <w:top w:val="single" w:sz="18" w:space="0" w:color="auto"/>
            </w:tcBorders>
            <w:vAlign w:val="center"/>
          </w:tcPr>
          <w:p w:rsidR="007A73E2" w:rsidRPr="007A73E2" w:rsidRDefault="007A73E2" w:rsidP="007A73E2">
            <w:pPr>
              <w:spacing w:line="240" w:lineRule="auto"/>
              <w:contextualSpacing/>
              <w:jc w:val="right"/>
              <w:rPr>
                <w:sz w:val="20"/>
                <w:szCs w:val="20"/>
              </w:rPr>
            </w:pPr>
            <w:r w:rsidRPr="007A73E2">
              <w:rPr>
                <w:sz w:val="20"/>
                <w:szCs w:val="20"/>
              </w:rPr>
              <w:t>865</w:t>
            </w:r>
          </w:p>
        </w:tc>
      </w:tr>
      <w:tr w:rsidR="007A73E2" w:rsidRPr="009D2571" w:rsidTr="007A73E2">
        <w:trPr>
          <w:trHeight w:val="296"/>
          <w:jc w:val="center"/>
        </w:trPr>
        <w:tc>
          <w:tcPr>
            <w:tcW w:w="3330" w:type="dxa"/>
            <w:shd w:val="clear" w:color="auto" w:fill="auto"/>
            <w:noWrap/>
            <w:vAlign w:val="center"/>
            <w:hideMark/>
          </w:tcPr>
          <w:p w:rsidR="007A73E2" w:rsidRPr="007A73E2" w:rsidRDefault="007A73E2" w:rsidP="007A73E2">
            <w:pPr>
              <w:spacing w:line="240" w:lineRule="auto"/>
              <w:contextualSpacing/>
              <w:jc w:val="left"/>
              <w:rPr>
                <w:color w:val="000000"/>
                <w:sz w:val="20"/>
                <w:szCs w:val="20"/>
              </w:rPr>
            </w:pPr>
            <w:r w:rsidRPr="007A73E2">
              <w:rPr>
                <w:b/>
                <w:color w:val="000000"/>
                <w:sz w:val="20"/>
                <w:szCs w:val="20"/>
              </w:rPr>
              <w:t>Počet rozhodnutí o pozastavení živnosti</w:t>
            </w:r>
          </w:p>
        </w:tc>
        <w:tc>
          <w:tcPr>
            <w:tcW w:w="1857" w:type="dxa"/>
            <w:gridSpan w:val="2"/>
            <w:vAlign w:val="center"/>
          </w:tcPr>
          <w:p w:rsidR="007A73E2" w:rsidRPr="007A73E2" w:rsidRDefault="007A73E2" w:rsidP="007A73E2">
            <w:pPr>
              <w:spacing w:line="240" w:lineRule="auto"/>
              <w:contextualSpacing/>
              <w:jc w:val="right"/>
              <w:rPr>
                <w:sz w:val="20"/>
                <w:szCs w:val="20"/>
              </w:rPr>
            </w:pPr>
            <w:r w:rsidRPr="007A73E2">
              <w:rPr>
                <w:sz w:val="20"/>
                <w:szCs w:val="20"/>
              </w:rPr>
              <w:t>424</w:t>
            </w:r>
          </w:p>
        </w:tc>
        <w:tc>
          <w:tcPr>
            <w:tcW w:w="2331" w:type="dxa"/>
            <w:gridSpan w:val="2"/>
            <w:vAlign w:val="center"/>
          </w:tcPr>
          <w:p w:rsidR="007A73E2" w:rsidRPr="007A73E2" w:rsidRDefault="007A73E2" w:rsidP="007A73E2">
            <w:pPr>
              <w:spacing w:line="240" w:lineRule="auto"/>
              <w:contextualSpacing/>
              <w:jc w:val="right"/>
              <w:rPr>
                <w:sz w:val="20"/>
                <w:szCs w:val="20"/>
              </w:rPr>
            </w:pPr>
            <w:r w:rsidRPr="007A73E2">
              <w:rPr>
                <w:sz w:val="20"/>
                <w:szCs w:val="20"/>
              </w:rPr>
              <w:t>469</w:t>
            </w:r>
          </w:p>
        </w:tc>
      </w:tr>
      <w:tr w:rsidR="007A73E2" w:rsidRPr="009D2571" w:rsidTr="007A73E2">
        <w:trPr>
          <w:trHeight w:val="296"/>
          <w:jc w:val="center"/>
        </w:trPr>
        <w:tc>
          <w:tcPr>
            <w:tcW w:w="3330" w:type="dxa"/>
            <w:shd w:val="clear" w:color="auto" w:fill="auto"/>
            <w:noWrap/>
            <w:vAlign w:val="center"/>
            <w:hideMark/>
          </w:tcPr>
          <w:p w:rsidR="007A73E2" w:rsidRPr="007A73E2" w:rsidRDefault="007A73E2" w:rsidP="007A73E2">
            <w:pPr>
              <w:spacing w:line="240" w:lineRule="auto"/>
              <w:contextualSpacing/>
              <w:jc w:val="left"/>
              <w:rPr>
                <w:b/>
                <w:color w:val="000000"/>
                <w:sz w:val="20"/>
                <w:szCs w:val="20"/>
              </w:rPr>
            </w:pPr>
            <w:r w:rsidRPr="007A73E2">
              <w:rPr>
                <w:b/>
                <w:color w:val="000000"/>
                <w:sz w:val="20"/>
                <w:szCs w:val="20"/>
              </w:rPr>
              <w:t>Počet zrušených a zaniknutých živnostenských oprávnení</w:t>
            </w:r>
          </w:p>
        </w:tc>
        <w:tc>
          <w:tcPr>
            <w:tcW w:w="1857" w:type="dxa"/>
            <w:gridSpan w:val="2"/>
            <w:vAlign w:val="center"/>
          </w:tcPr>
          <w:p w:rsidR="007A73E2" w:rsidRPr="007A73E2" w:rsidRDefault="007A73E2" w:rsidP="007A73E2">
            <w:pPr>
              <w:spacing w:line="240" w:lineRule="auto"/>
              <w:contextualSpacing/>
              <w:jc w:val="right"/>
              <w:rPr>
                <w:sz w:val="20"/>
                <w:szCs w:val="20"/>
              </w:rPr>
            </w:pPr>
            <w:r w:rsidRPr="007A73E2">
              <w:rPr>
                <w:sz w:val="20"/>
                <w:szCs w:val="20"/>
              </w:rPr>
              <w:t>337</w:t>
            </w:r>
          </w:p>
        </w:tc>
        <w:tc>
          <w:tcPr>
            <w:tcW w:w="2331" w:type="dxa"/>
            <w:gridSpan w:val="2"/>
            <w:vAlign w:val="center"/>
          </w:tcPr>
          <w:p w:rsidR="007A73E2" w:rsidRPr="007A73E2" w:rsidRDefault="007A73E2" w:rsidP="007A73E2">
            <w:pPr>
              <w:spacing w:line="240" w:lineRule="auto"/>
              <w:contextualSpacing/>
              <w:jc w:val="right"/>
              <w:rPr>
                <w:sz w:val="20"/>
                <w:szCs w:val="20"/>
              </w:rPr>
            </w:pPr>
            <w:r w:rsidRPr="007A73E2">
              <w:rPr>
                <w:sz w:val="20"/>
                <w:szCs w:val="20"/>
              </w:rPr>
              <w:t>479</w:t>
            </w:r>
          </w:p>
        </w:tc>
      </w:tr>
    </w:tbl>
    <w:p w:rsidR="007A73E2" w:rsidRDefault="007A73E2" w:rsidP="007A73E2">
      <w:pPr>
        <w:spacing w:line="240" w:lineRule="auto"/>
        <w:contextualSpacing/>
      </w:pPr>
      <w:r>
        <w:t xml:space="preserve">     </w:t>
      </w:r>
      <w:r w:rsidR="00413360">
        <w:t xml:space="preserve"> </w:t>
      </w:r>
      <w:r>
        <w:t xml:space="preserve">   </w:t>
      </w:r>
      <w:r w:rsidRPr="00B26E7E">
        <w:t xml:space="preserve">Zdroj: Obvodný úrad </w:t>
      </w:r>
      <w:r>
        <w:t>Košice, Košice a okolie a Trebišov</w:t>
      </w:r>
    </w:p>
    <w:p w:rsidR="007A73E2" w:rsidRDefault="007A73E2" w:rsidP="007A73E2">
      <w:pPr>
        <w:contextualSpacing/>
      </w:pPr>
    </w:p>
    <w:p w:rsidR="007A73E2" w:rsidRDefault="007A73E2" w:rsidP="007A73E2">
      <w:pPr>
        <w:ind w:firstLine="708"/>
        <w:contextualSpacing/>
      </w:pPr>
      <w:r>
        <w:t>V</w:t>
      </w:r>
      <w:r w:rsidRPr="00B26E7E">
        <w:t xml:space="preserve">ývoj živnostníkov </w:t>
      </w:r>
      <w:r>
        <w:t xml:space="preserve">v obvodoch Košice, Košice a okolie a Trebišov mal </w:t>
      </w:r>
      <w:r w:rsidRPr="00B26E7E">
        <w:t>za roky</w:t>
      </w:r>
      <w:r>
        <w:t xml:space="preserve"> </w:t>
      </w:r>
      <w:r w:rsidRPr="00B26E7E">
        <w:t>200</w:t>
      </w:r>
      <w:r>
        <w:t>7 a </w:t>
      </w:r>
      <w:r w:rsidRPr="00B26E7E">
        <w:t>2008</w:t>
      </w:r>
      <w:r>
        <w:t xml:space="preserve"> rovnako</w:t>
      </w:r>
      <w:r w:rsidRPr="00B26E7E">
        <w:t xml:space="preserve"> kolísavý charakter. </w:t>
      </w:r>
      <w:r>
        <w:t>Z tabuľky 8 môžeme konštatovať, že v roku 2008 v porovnaní s rokom 2007 najviac vzrástol počet nových podnikateľov v Košiciach (z pôvodných 2 309 na 2 494) a najmenej v Trebišove (nárast len o 79). Do úvahy sme nebrali Košice a okolie, ktoré tento údaj nemali k dispozícii</w:t>
      </w:r>
      <w:r w:rsidRPr="00B26E7E">
        <w:t xml:space="preserve">. V prípade rozhodnutí o pozastavení živnosti </w:t>
      </w:r>
      <w:r>
        <w:t>bol evidovaný pokles, s výnimkou Trebišova, kde bol zaznamenaný nárast o 45 živnostníkov</w:t>
      </w:r>
      <w:r w:rsidRPr="00B26E7E">
        <w:t xml:space="preserve">. V oblasti zrušených a zaniknutých živnostenských oprávnení </w:t>
      </w:r>
      <w:r>
        <w:t>došlo naopak k nárastu, pričom najväčší (o 187) bol zaznamenaný v Košiciach a okolí a najmenší (135) priamo v Košiciach</w:t>
      </w:r>
      <w:r w:rsidRPr="00B26E7E">
        <w:t>.</w:t>
      </w:r>
    </w:p>
    <w:p w:rsidR="00413360" w:rsidRDefault="00413360" w:rsidP="007A73E2">
      <w:pPr>
        <w:ind w:firstLine="708"/>
        <w:contextualSpacing/>
      </w:pPr>
    </w:p>
    <w:p w:rsidR="007A73E2" w:rsidRDefault="007A73E2" w:rsidP="00B560E4">
      <w:pPr>
        <w:numPr>
          <w:ilvl w:val="0"/>
          <w:numId w:val="82"/>
        </w:numPr>
        <w:spacing w:before="0"/>
        <w:contextualSpacing/>
      </w:pPr>
      <w:r>
        <w:t>živnostenské úrady, ktoré poskytli údaje za súhrnné časové obdobie 2004 - 2008 (Považská Bystrica, Námestovo, Rožňava)</w:t>
      </w:r>
    </w:p>
    <w:p w:rsidR="007A73E2" w:rsidRDefault="007A73E2" w:rsidP="007A73E2">
      <w:pPr>
        <w:ind w:firstLine="708"/>
        <w:contextualSpacing/>
      </w:pPr>
    </w:p>
    <w:p w:rsidR="007A73E2" w:rsidRDefault="007A73E2" w:rsidP="007A73E2">
      <w:pPr>
        <w:ind w:firstLine="708"/>
        <w:contextualSpacing/>
      </w:pPr>
    </w:p>
    <w:p w:rsidR="007A73E2" w:rsidRDefault="007A73E2" w:rsidP="007A73E2">
      <w:pPr>
        <w:ind w:firstLine="708"/>
        <w:contextualSpacing/>
      </w:pPr>
    </w:p>
    <w:p w:rsidR="007A73E2" w:rsidRDefault="00413360" w:rsidP="00413360">
      <w:pPr>
        <w:spacing w:line="240" w:lineRule="auto"/>
        <w:contextualSpacing/>
      </w:pPr>
      <w:r>
        <w:rPr>
          <w:b/>
        </w:rPr>
        <w:lastRenderedPageBreak/>
        <w:t xml:space="preserve">        </w:t>
      </w:r>
      <w:r w:rsidR="007A73E2" w:rsidRPr="00B26E7E">
        <w:rPr>
          <w:b/>
        </w:rPr>
        <w:t xml:space="preserve"> </w:t>
      </w:r>
      <w:r w:rsidR="007A73E2" w:rsidRPr="003757AF">
        <w:rPr>
          <w:b/>
        </w:rPr>
        <w:t>Vývoj živnostníkov vo vybraných Obvodných úradoch</w:t>
      </w:r>
      <w:r w:rsidR="007A73E2" w:rsidRPr="003757AF">
        <w:rPr>
          <w:b/>
          <w:noProof/>
        </w:rPr>
        <w:t xml:space="preserve"> </w:t>
      </w:r>
      <w:r w:rsidR="007A73E2">
        <w:rPr>
          <w:b/>
          <w:noProof/>
        </w:rPr>
        <w:t>3</w:t>
      </w:r>
      <w:r w:rsidR="007A73E2" w:rsidRPr="003757AF">
        <w:rPr>
          <w:b/>
          <w:noProof/>
        </w:rPr>
        <w:t xml:space="preserve">  </w:t>
      </w:r>
      <w:r>
        <w:rPr>
          <w:b/>
          <w:noProof/>
        </w:rPr>
        <w:t xml:space="preserve">    </w:t>
      </w:r>
      <w:r w:rsidR="007A73E2">
        <w:rPr>
          <w:b/>
          <w:noProof/>
        </w:rPr>
        <w:t xml:space="preserve">  </w:t>
      </w:r>
      <w:r w:rsidR="007A73E2" w:rsidRPr="003757AF">
        <w:rPr>
          <w:b/>
          <w:noProof/>
        </w:rPr>
        <w:t xml:space="preserve">  Tabuľka </w:t>
      </w:r>
      <w:r w:rsidR="007A73E2">
        <w:rPr>
          <w:b/>
          <w:noProof/>
        </w:rPr>
        <w:t>9</w:t>
      </w:r>
    </w:p>
    <w:tbl>
      <w:tblPr>
        <w:tblW w:w="7436" w:type="dxa"/>
        <w:jc w:val="center"/>
        <w:tblInd w:w="-1692"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4A0"/>
      </w:tblPr>
      <w:tblGrid>
        <w:gridCol w:w="3462"/>
        <w:gridCol w:w="397"/>
        <w:gridCol w:w="3577"/>
      </w:tblGrid>
      <w:tr w:rsidR="007A73E2" w:rsidRPr="009D2571" w:rsidTr="00413360">
        <w:trPr>
          <w:trHeight w:val="296"/>
          <w:jc w:val="center"/>
        </w:trPr>
        <w:tc>
          <w:tcPr>
            <w:tcW w:w="3859" w:type="dxa"/>
            <w:gridSpan w:val="2"/>
            <w:tcBorders>
              <w:top w:val="single" w:sz="18" w:space="0" w:color="auto"/>
              <w:bottom w:val="single" w:sz="18" w:space="0" w:color="auto"/>
            </w:tcBorders>
            <w:shd w:val="clear" w:color="auto" w:fill="auto"/>
            <w:noWrap/>
            <w:vAlign w:val="center"/>
            <w:hideMark/>
          </w:tcPr>
          <w:p w:rsidR="007A73E2" w:rsidRPr="007A73E2" w:rsidRDefault="007A73E2" w:rsidP="007A73E2">
            <w:pPr>
              <w:spacing w:line="240" w:lineRule="auto"/>
              <w:contextualSpacing/>
              <w:jc w:val="center"/>
              <w:rPr>
                <w:b/>
                <w:sz w:val="20"/>
                <w:szCs w:val="20"/>
              </w:rPr>
            </w:pPr>
            <w:r w:rsidRPr="007A73E2">
              <w:rPr>
                <w:b/>
                <w:sz w:val="20"/>
                <w:szCs w:val="20"/>
              </w:rPr>
              <w:t>Rok</w:t>
            </w:r>
          </w:p>
        </w:tc>
        <w:tc>
          <w:tcPr>
            <w:tcW w:w="3577" w:type="dxa"/>
            <w:tcBorders>
              <w:top w:val="single" w:sz="18" w:space="0" w:color="auto"/>
              <w:bottom w:val="single" w:sz="18" w:space="0" w:color="auto"/>
            </w:tcBorders>
            <w:shd w:val="clear" w:color="auto" w:fill="auto"/>
            <w:vAlign w:val="center"/>
          </w:tcPr>
          <w:p w:rsidR="007A73E2" w:rsidRPr="007A73E2" w:rsidRDefault="007A73E2" w:rsidP="007A73E2">
            <w:pPr>
              <w:spacing w:line="240" w:lineRule="auto"/>
              <w:contextualSpacing/>
              <w:jc w:val="center"/>
              <w:rPr>
                <w:b/>
                <w:sz w:val="20"/>
                <w:szCs w:val="20"/>
              </w:rPr>
            </w:pPr>
            <w:r w:rsidRPr="007A73E2">
              <w:rPr>
                <w:b/>
                <w:sz w:val="20"/>
                <w:szCs w:val="20"/>
              </w:rPr>
              <w:t>2004 - 2008</w:t>
            </w:r>
          </w:p>
        </w:tc>
      </w:tr>
      <w:tr w:rsidR="007A73E2" w:rsidRPr="009D2571" w:rsidTr="00413360">
        <w:trPr>
          <w:trHeight w:val="296"/>
          <w:jc w:val="center"/>
        </w:trPr>
        <w:tc>
          <w:tcPr>
            <w:tcW w:w="7436" w:type="dxa"/>
            <w:gridSpan w:val="3"/>
            <w:tcBorders>
              <w:top w:val="single" w:sz="18" w:space="0" w:color="auto"/>
              <w:bottom w:val="single" w:sz="18" w:space="0" w:color="auto"/>
            </w:tcBorders>
            <w:shd w:val="clear" w:color="auto" w:fill="FFFF00"/>
            <w:noWrap/>
            <w:vAlign w:val="center"/>
            <w:hideMark/>
          </w:tcPr>
          <w:p w:rsidR="007A73E2" w:rsidRPr="007A73E2" w:rsidRDefault="007A73E2" w:rsidP="007A73E2">
            <w:pPr>
              <w:spacing w:line="240" w:lineRule="auto"/>
              <w:contextualSpacing/>
              <w:jc w:val="center"/>
              <w:rPr>
                <w:sz w:val="20"/>
                <w:szCs w:val="20"/>
              </w:rPr>
            </w:pPr>
            <w:r w:rsidRPr="007A73E2">
              <w:rPr>
                <w:b/>
                <w:sz w:val="20"/>
                <w:szCs w:val="20"/>
              </w:rPr>
              <w:t>Živnostenský (Obvodný) úrad Považská Bystrica</w:t>
            </w:r>
          </w:p>
        </w:tc>
      </w:tr>
      <w:tr w:rsidR="007A73E2" w:rsidRPr="009D2571" w:rsidTr="00413360">
        <w:trPr>
          <w:trHeight w:val="296"/>
          <w:jc w:val="center"/>
        </w:trPr>
        <w:tc>
          <w:tcPr>
            <w:tcW w:w="3462" w:type="dxa"/>
            <w:tcBorders>
              <w:top w:val="single" w:sz="18" w:space="0" w:color="auto"/>
            </w:tcBorders>
            <w:shd w:val="clear" w:color="auto" w:fill="auto"/>
            <w:noWrap/>
            <w:vAlign w:val="center"/>
            <w:hideMark/>
          </w:tcPr>
          <w:p w:rsidR="007A73E2" w:rsidRPr="007A73E2" w:rsidRDefault="007A73E2" w:rsidP="00413360">
            <w:pPr>
              <w:spacing w:line="240" w:lineRule="auto"/>
              <w:contextualSpacing/>
              <w:jc w:val="left"/>
              <w:rPr>
                <w:b/>
                <w:color w:val="000000"/>
                <w:sz w:val="20"/>
                <w:szCs w:val="20"/>
              </w:rPr>
            </w:pPr>
            <w:r w:rsidRPr="007A73E2">
              <w:rPr>
                <w:b/>
                <w:color w:val="000000"/>
                <w:sz w:val="20"/>
                <w:szCs w:val="20"/>
              </w:rPr>
              <w:t>Počet nových podnikateľov</w:t>
            </w:r>
          </w:p>
        </w:tc>
        <w:tc>
          <w:tcPr>
            <w:tcW w:w="3974" w:type="dxa"/>
            <w:gridSpan w:val="2"/>
            <w:tcBorders>
              <w:top w:val="single" w:sz="18" w:space="0" w:color="auto"/>
            </w:tcBorders>
            <w:vAlign w:val="center"/>
          </w:tcPr>
          <w:p w:rsidR="007A73E2" w:rsidRPr="007A73E2" w:rsidRDefault="007A73E2" w:rsidP="007A73E2">
            <w:pPr>
              <w:spacing w:line="240" w:lineRule="auto"/>
              <w:contextualSpacing/>
              <w:jc w:val="right"/>
              <w:rPr>
                <w:sz w:val="20"/>
                <w:szCs w:val="20"/>
              </w:rPr>
            </w:pPr>
            <w:r w:rsidRPr="007A73E2">
              <w:rPr>
                <w:sz w:val="20"/>
                <w:szCs w:val="20"/>
              </w:rPr>
              <w:t>6 131</w:t>
            </w:r>
          </w:p>
        </w:tc>
      </w:tr>
      <w:tr w:rsidR="007A73E2" w:rsidRPr="009D2571" w:rsidTr="00413360">
        <w:trPr>
          <w:trHeight w:val="296"/>
          <w:jc w:val="center"/>
        </w:trPr>
        <w:tc>
          <w:tcPr>
            <w:tcW w:w="3462" w:type="dxa"/>
            <w:shd w:val="clear" w:color="auto" w:fill="auto"/>
            <w:noWrap/>
            <w:vAlign w:val="center"/>
            <w:hideMark/>
          </w:tcPr>
          <w:p w:rsidR="007A73E2" w:rsidRPr="007A73E2" w:rsidRDefault="007A73E2" w:rsidP="00413360">
            <w:pPr>
              <w:spacing w:line="240" w:lineRule="auto"/>
              <w:contextualSpacing/>
              <w:jc w:val="left"/>
              <w:rPr>
                <w:color w:val="000000"/>
                <w:sz w:val="20"/>
                <w:szCs w:val="20"/>
              </w:rPr>
            </w:pPr>
            <w:r w:rsidRPr="007A73E2">
              <w:rPr>
                <w:b/>
                <w:color w:val="000000"/>
                <w:sz w:val="20"/>
                <w:szCs w:val="20"/>
              </w:rPr>
              <w:t>Počet rozhodnutí o pozastavení živnosti</w:t>
            </w:r>
          </w:p>
        </w:tc>
        <w:tc>
          <w:tcPr>
            <w:tcW w:w="3974" w:type="dxa"/>
            <w:gridSpan w:val="2"/>
            <w:vAlign w:val="center"/>
          </w:tcPr>
          <w:p w:rsidR="007A73E2" w:rsidRPr="007A73E2" w:rsidRDefault="007A73E2" w:rsidP="007A73E2">
            <w:pPr>
              <w:spacing w:line="240" w:lineRule="auto"/>
              <w:contextualSpacing/>
              <w:jc w:val="right"/>
              <w:rPr>
                <w:sz w:val="20"/>
                <w:szCs w:val="20"/>
              </w:rPr>
            </w:pPr>
            <w:r w:rsidRPr="007A73E2">
              <w:rPr>
                <w:sz w:val="20"/>
                <w:szCs w:val="20"/>
              </w:rPr>
              <w:t>5 972</w:t>
            </w:r>
          </w:p>
        </w:tc>
      </w:tr>
      <w:tr w:rsidR="007A73E2" w:rsidRPr="009D2571" w:rsidTr="00413360">
        <w:trPr>
          <w:trHeight w:val="296"/>
          <w:jc w:val="center"/>
        </w:trPr>
        <w:tc>
          <w:tcPr>
            <w:tcW w:w="3462" w:type="dxa"/>
            <w:tcBorders>
              <w:bottom w:val="single" w:sz="18" w:space="0" w:color="auto"/>
            </w:tcBorders>
            <w:shd w:val="clear" w:color="auto" w:fill="auto"/>
            <w:noWrap/>
            <w:vAlign w:val="center"/>
            <w:hideMark/>
          </w:tcPr>
          <w:p w:rsidR="007A73E2" w:rsidRPr="007A73E2" w:rsidRDefault="007A73E2" w:rsidP="00413360">
            <w:pPr>
              <w:spacing w:line="240" w:lineRule="auto"/>
              <w:contextualSpacing/>
              <w:jc w:val="left"/>
              <w:rPr>
                <w:b/>
                <w:color w:val="000000"/>
                <w:sz w:val="20"/>
                <w:szCs w:val="20"/>
              </w:rPr>
            </w:pPr>
            <w:r w:rsidRPr="007A73E2">
              <w:rPr>
                <w:b/>
                <w:color w:val="000000"/>
                <w:sz w:val="20"/>
                <w:szCs w:val="20"/>
              </w:rPr>
              <w:t>Počet zrušených a zaniknutých živnostenských oprávnení</w:t>
            </w:r>
          </w:p>
        </w:tc>
        <w:tc>
          <w:tcPr>
            <w:tcW w:w="3974" w:type="dxa"/>
            <w:gridSpan w:val="2"/>
            <w:tcBorders>
              <w:bottom w:val="single" w:sz="18" w:space="0" w:color="auto"/>
            </w:tcBorders>
            <w:vAlign w:val="center"/>
          </w:tcPr>
          <w:p w:rsidR="007A73E2" w:rsidRPr="007A73E2" w:rsidRDefault="007A73E2" w:rsidP="007A73E2">
            <w:pPr>
              <w:spacing w:line="240" w:lineRule="auto"/>
              <w:contextualSpacing/>
              <w:jc w:val="right"/>
              <w:rPr>
                <w:sz w:val="20"/>
                <w:szCs w:val="20"/>
              </w:rPr>
            </w:pPr>
            <w:r w:rsidRPr="007A73E2">
              <w:rPr>
                <w:sz w:val="20"/>
                <w:szCs w:val="20"/>
              </w:rPr>
              <w:t>8 700</w:t>
            </w:r>
          </w:p>
        </w:tc>
      </w:tr>
      <w:tr w:rsidR="007A73E2" w:rsidRPr="009D2571" w:rsidTr="00413360">
        <w:trPr>
          <w:trHeight w:val="296"/>
          <w:jc w:val="center"/>
        </w:trPr>
        <w:tc>
          <w:tcPr>
            <w:tcW w:w="7436" w:type="dxa"/>
            <w:gridSpan w:val="3"/>
            <w:tcBorders>
              <w:top w:val="single" w:sz="18" w:space="0" w:color="auto"/>
              <w:bottom w:val="single" w:sz="18" w:space="0" w:color="auto"/>
            </w:tcBorders>
            <w:shd w:val="clear" w:color="auto" w:fill="FFFF00"/>
            <w:noWrap/>
            <w:vAlign w:val="center"/>
            <w:hideMark/>
          </w:tcPr>
          <w:p w:rsidR="007A73E2" w:rsidRPr="007A73E2" w:rsidRDefault="007A73E2" w:rsidP="007A73E2">
            <w:pPr>
              <w:spacing w:line="240" w:lineRule="auto"/>
              <w:contextualSpacing/>
              <w:jc w:val="center"/>
              <w:rPr>
                <w:sz w:val="20"/>
                <w:szCs w:val="20"/>
              </w:rPr>
            </w:pPr>
            <w:r w:rsidRPr="007A73E2">
              <w:rPr>
                <w:b/>
                <w:sz w:val="20"/>
                <w:szCs w:val="20"/>
              </w:rPr>
              <w:t>Živnostenský (Obvodný) úrad Námestovo</w:t>
            </w:r>
          </w:p>
        </w:tc>
      </w:tr>
      <w:tr w:rsidR="007A73E2" w:rsidRPr="009D2571" w:rsidTr="00413360">
        <w:trPr>
          <w:trHeight w:val="296"/>
          <w:jc w:val="center"/>
        </w:trPr>
        <w:tc>
          <w:tcPr>
            <w:tcW w:w="3462" w:type="dxa"/>
            <w:tcBorders>
              <w:top w:val="single" w:sz="18" w:space="0" w:color="auto"/>
            </w:tcBorders>
            <w:shd w:val="clear" w:color="auto" w:fill="auto"/>
            <w:noWrap/>
            <w:vAlign w:val="center"/>
            <w:hideMark/>
          </w:tcPr>
          <w:p w:rsidR="007A73E2" w:rsidRPr="007A73E2" w:rsidRDefault="007A73E2" w:rsidP="00413360">
            <w:pPr>
              <w:spacing w:line="240" w:lineRule="auto"/>
              <w:contextualSpacing/>
              <w:jc w:val="left"/>
              <w:rPr>
                <w:b/>
                <w:color w:val="000000"/>
                <w:sz w:val="20"/>
                <w:szCs w:val="20"/>
              </w:rPr>
            </w:pPr>
            <w:r w:rsidRPr="007A73E2">
              <w:rPr>
                <w:b/>
                <w:color w:val="000000"/>
                <w:sz w:val="20"/>
                <w:szCs w:val="20"/>
              </w:rPr>
              <w:t>Počet nových podnikateľov</w:t>
            </w:r>
          </w:p>
        </w:tc>
        <w:tc>
          <w:tcPr>
            <w:tcW w:w="3974" w:type="dxa"/>
            <w:gridSpan w:val="2"/>
            <w:tcBorders>
              <w:top w:val="single" w:sz="18" w:space="0" w:color="auto"/>
            </w:tcBorders>
            <w:vAlign w:val="center"/>
          </w:tcPr>
          <w:p w:rsidR="007A73E2" w:rsidRPr="007A73E2" w:rsidRDefault="007A73E2" w:rsidP="007A73E2">
            <w:pPr>
              <w:spacing w:line="240" w:lineRule="auto"/>
              <w:contextualSpacing/>
              <w:jc w:val="right"/>
              <w:rPr>
                <w:sz w:val="20"/>
                <w:szCs w:val="20"/>
              </w:rPr>
            </w:pPr>
            <w:r w:rsidRPr="007A73E2">
              <w:rPr>
                <w:sz w:val="20"/>
                <w:szCs w:val="20"/>
              </w:rPr>
              <w:t>7 597</w:t>
            </w:r>
          </w:p>
        </w:tc>
      </w:tr>
      <w:tr w:rsidR="007A73E2" w:rsidRPr="009D2571" w:rsidTr="00413360">
        <w:trPr>
          <w:trHeight w:val="296"/>
          <w:jc w:val="center"/>
        </w:trPr>
        <w:tc>
          <w:tcPr>
            <w:tcW w:w="3462" w:type="dxa"/>
            <w:shd w:val="clear" w:color="auto" w:fill="auto"/>
            <w:noWrap/>
            <w:vAlign w:val="center"/>
            <w:hideMark/>
          </w:tcPr>
          <w:p w:rsidR="007A73E2" w:rsidRPr="007A73E2" w:rsidRDefault="007A73E2" w:rsidP="00413360">
            <w:pPr>
              <w:spacing w:line="240" w:lineRule="auto"/>
              <w:contextualSpacing/>
              <w:jc w:val="left"/>
              <w:rPr>
                <w:color w:val="000000"/>
                <w:sz w:val="20"/>
                <w:szCs w:val="20"/>
              </w:rPr>
            </w:pPr>
            <w:r w:rsidRPr="007A73E2">
              <w:rPr>
                <w:b/>
                <w:color w:val="000000"/>
                <w:sz w:val="20"/>
                <w:szCs w:val="20"/>
              </w:rPr>
              <w:t>Počet rozhodnutí o pozastavení živnosti</w:t>
            </w:r>
          </w:p>
        </w:tc>
        <w:tc>
          <w:tcPr>
            <w:tcW w:w="3974" w:type="dxa"/>
            <w:gridSpan w:val="2"/>
            <w:vAlign w:val="center"/>
          </w:tcPr>
          <w:p w:rsidR="007A73E2" w:rsidRPr="007A73E2" w:rsidRDefault="007A73E2" w:rsidP="007A73E2">
            <w:pPr>
              <w:spacing w:line="240" w:lineRule="auto"/>
              <w:contextualSpacing/>
              <w:jc w:val="right"/>
              <w:rPr>
                <w:sz w:val="20"/>
                <w:szCs w:val="20"/>
              </w:rPr>
            </w:pPr>
            <w:r w:rsidRPr="007A73E2">
              <w:rPr>
                <w:sz w:val="20"/>
                <w:szCs w:val="20"/>
              </w:rPr>
              <w:t>8 242</w:t>
            </w:r>
          </w:p>
        </w:tc>
      </w:tr>
      <w:tr w:rsidR="007A73E2" w:rsidRPr="009D2571" w:rsidTr="00413360">
        <w:trPr>
          <w:trHeight w:val="296"/>
          <w:jc w:val="center"/>
        </w:trPr>
        <w:tc>
          <w:tcPr>
            <w:tcW w:w="3462" w:type="dxa"/>
            <w:tcBorders>
              <w:bottom w:val="single" w:sz="18" w:space="0" w:color="auto"/>
            </w:tcBorders>
            <w:shd w:val="clear" w:color="auto" w:fill="auto"/>
            <w:noWrap/>
            <w:vAlign w:val="center"/>
            <w:hideMark/>
          </w:tcPr>
          <w:p w:rsidR="007A73E2" w:rsidRPr="007A73E2" w:rsidRDefault="007A73E2" w:rsidP="00413360">
            <w:pPr>
              <w:spacing w:line="240" w:lineRule="auto"/>
              <w:contextualSpacing/>
              <w:jc w:val="left"/>
              <w:rPr>
                <w:b/>
                <w:color w:val="000000"/>
                <w:sz w:val="20"/>
                <w:szCs w:val="20"/>
              </w:rPr>
            </w:pPr>
            <w:r w:rsidRPr="007A73E2">
              <w:rPr>
                <w:b/>
                <w:color w:val="000000"/>
                <w:sz w:val="20"/>
                <w:szCs w:val="20"/>
              </w:rPr>
              <w:t>Počet zrušených a zaniknutých živnostenských oprávnení</w:t>
            </w:r>
          </w:p>
        </w:tc>
        <w:tc>
          <w:tcPr>
            <w:tcW w:w="3974" w:type="dxa"/>
            <w:gridSpan w:val="2"/>
            <w:tcBorders>
              <w:bottom w:val="single" w:sz="18" w:space="0" w:color="auto"/>
            </w:tcBorders>
            <w:vAlign w:val="center"/>
          </w:tcPr>
          <w:p w:rsidR="007A73E2" w:rsidRPr="007A73E2" w:rsidRDefault="007A73E2" w:rsidP="007A73E2">
            <w:pPr>
              <w:spacing w:line="240" w:lineRule="auto"/>
              <w:contextualSpacing/>
              <w:jc w:val="right"/>
              <w:rPr>
                <w:sz w:val="20"/>
                <w:szCs w:val="20"/>
              </w:rPr>
            </w:pPr>
            <w:r w:rsidRPr="007A73E2">
              <w:rPr>
                <w:sz w:val="20"/>
                <w:szCs w:val="20"/>
              </w:rPr>
              <w:t>3 342</w:t>
            </w:r>
          </w:p>
        </w:tc>
      </w:tr>
      <w:tr w:rsidR="007A73E2" w:rsidRPr="009D2571" w:rsidTr="00413360">
        <w:trPr>
          <w:trHeight w:val="296"/>
          <w:jc w:val="center"/>
        </w:trPr>
        <w:tc>
          <w:tcPr>
            <w:tcW w:w="7436" w:type="dxa"/>
            <w:gridSpan w:val="3"/>
            <w:tcBorders>
              <w:top w:val="single" w:sz="18" w:space="0" w:color="auto"/>
              <w:bottom w:val="single" w:sz="18" w:space="0" w:color="auto"/>
            </w:tcBorders>
            <w:shd w:val="clear" w:color="auto" w:fill="FFFF00"/>
            <w:noWrap/>
            <w:vAlign w:val="center"/>
            <w:hideMark/>
          </w:tcPr>
          <w:p w:rsidR="007A73E2" w:rsidRPr="007A73E2" w:rsidRDefault="007A73E2" w:rsidP="007A73E2">
            <w:pPr>
              <w:spacing w:line="240" w:lineRule="auto"/>
              <w:contextualSpacing/>
              <w:jc w:val="center"/>
              <w:rPr>
                <w:sz w:val="20"/>
                <w:szCs w:val="20"/>
              </w:rPr>
            </w:pPr>
            <w:r w:rsidRPr="007A73E2">
              <w:rPr>
                <w:b/>
                <w:sz w:val="20"/>
                <w:szCs w:val="20"/>
              </w:rPr>
              <w:t>Živnostenský (Obvodný) úrad Rožňava</w:t>
            </w:r>
          </w:p>
        </w:tc>
      </w:tr>
      <w:tr w:rsidR="007A73E2" w:rsidRPr="009D2571" w:rsidTr="00413360">
        <w:trPr>
          <w:trHeight w:val="296"/>
          <w:jc w:val="center"/>
        </w:trPr>
        <w:tc>
          <w:tcPr>
            <w:tcW w:w="3462" w:type="dxa"/>
            <w:tcBorders>
              <w:top w:val="single" w:sz="18" w:space="0" w:color="auto"/>
            </w:tcBorders>
            <w:shd w:val="clear" w:color="auto" w:fill="auto"/>
            <w:noWrap/>
            <w:vAlign w:val="center"/>
            <w:hideMark/>
          </w:tcPr>
          <w:p w:rsidR="007A73E2" w:rsidRPr="007A73E2" w:rsidRDefault="007A73E2" w:rsidP="00413360">
            <w:pPr>
              <w:spacing w:line="240" w:lineRule="auto"/>
              <w:contextualSpacing/>
              <w:jc w:val="left"/>
              <w:rPr>
                <w:b/>
                <w:color w:val="000000"/>
                <w:sz w:val="20"/>
                <w:szCs w:val="20"/>
              </w:rPr>
            </w:pPr>
            <w:r w:rsidRPr="007A73E2">
              <w:rPr>
                <w:b/>
                <w:color w:val="000000"/>
                <w:sz w:val="20"/>
                <w:szCs w:val="20"/>
              </w:rPr>
              <w:t>Počet nových podnikateľov</w:t>
            </w:r>
          </w:p>
        </w:tc>
        <w:tc>
          <w:tcPr>
            <w:tcW w:w="3974" w:type="dxa"/>
            <w:gridSpan w:val="2"/>
            <w:tcBorders>
              <w:top w:val="single" w:sz="18" w:space="0" w:color="auto"/>
            </w:tcBorders>
            <w:vAlign w:val="center"/>
          </w:tcPr>
          <w:p w:rsidR="007A73E2" w:rsidRPr="007A73E2" w:rsidRDefault="007A73E2" w:rsidP="007A73E2">
            <w:pPr>
              <w:spacing w:line="240" w:lineRule="auto"/>
              <w:contextualSpacing/>
              <w:jc w:val="right"/>
              <w:rPr>
                <w:sz w:val="20"/>
                <w:szCs w:val="20"/>
              </w:rPr>
            </w:pPr>
            <w:r w:rsidRPr="007A73E2">
              <w:rPr>
                <w:sz w:val="20"/>
                <w:szCs w:val="20"/>
              </w:rPr>
              <w:t>1628</w:t>
            </w:r>
          </w:p>
        </w:tc>
      </w:tr>
      <w:tr w:rsidR="007A73E2" w:rsidRPr="009D2571" w:rsidTr="00413360">
        <w:trPr>
          <w:trHeight w:val="296"/>
          <w:jc w:val="center"/>
        </w:trPr>
        <w:tc>
          <w:tcPr>
            <w:tcW w:w="3462" w:type="dxa"/>
            <w:shd w:val="clear" w:color="auto" w:fill="auto"/>
            <w:noWrap/>
            <w:vAlign w:val="center"/>
            <w:hideMark/>
          </w:tcPr>
          <w:p w:rsidR="007A73E2" w:rsidRPr="007A73E2" w:rsidRDefault="007A73E2" w:rsidP="00413360">
            <w:pPr>
              <w:spacing w:line="240" w:lineRule="auto"/>
              <w:contextualSpacing/>
              <w:jc w:val="left"/>
              <w:rPr>
                <w:color w:val="000000"/>
                <w:sz w:val="20"/>
                <w:szCs w:val="20"/>
              </w:rPr>
            </w:pPr>
            <w:r w:rsidRPr="007A73E2">
              <w:rPr>
                <w:b/>
                <w:color w:val="000000"/>
                <w:sz w:val="20"/>
                <w:szCs w:val="20"/>
              </w:rPr>
              <w:t>Počet rozhodnutí o pozastavení živnosti</w:t>
            </w:r>
          </w:p>
        </w:tc>
        <w:tc>
          <w:tcPr>
            <w:tcW w:w="3974" w:type="dxa"/>
            <w:gridSpan w:val="2"/>
            <w:vAlign w:val="center"/>
          </w:tcPr>
          <w:p w:rsidR="007A73E2" w:rsidRPr="007A73E2" w:rsidRDefault="007A73E2" w:rsidP="007A73E2">
            <w:pPr>
              <w:spacing w:line="240" w:lineRule="auto"/>
              <w:contextualSpacing/>
              <w:jc w:val="right"/>
              <w:rPr>
                <w:sz w:val="20"/>
                <w:szCs w:val="20"/>
              </w:rPr>
            </w:pPr>
            <w:r w:rsidRPr="007A73E2">
              <w:rPr>
                <w:sz w:val="20"/>
                <w:szCs w:val="20"/>
              </w:rPr>
              <w:t>-</w:t>
            </w:r>
          </w:p>
        </w:tc>
      </w:tr>
      <w:tr w:rsidR="007A73E2" w:rsidRPr="009D2571" w:rsidTr="00413360">
        <w:trPr>
          <w:trHeight w:val="296"/>
          <w:jc w:val="center"/>
        </w:trPr>
        <w:tc>
          <w:tcPr>
            <w:tcW w:w="3462" w:type="dxa"/>
            <w:tcBorders>
              <w:bottom w:val="single" w:sz="18" w:space="0" w:color="auto"/>
            </w:tcBorders>
            <w:shd w:val="clear" w:color="auto" w:fill="auto"/>
            <w:noWrap/>
            <w:vAlign w:val="center"/>
            <w:hideMark/>
          </w:tcPr>
          <w:p w:rsidR="007A73E2" w:rsidRPr="007A73E2" w:rsidRDefault="007A73E2" w:rsidP="00413360">
            <w:pPr>
              <w:spacing w:line="240" w:lineRule="auto"/>
              <w:contextualSpacing/>
              <w:jc w:val="left"/>
              <w:rPr>
                <w:b/>
                <w:color w:val="000000"/>
                <w:sz w:val="20"/>
                <w:szCs w:val="20"/>
              </w:rPr>
            </w:pPr>
            <w:r w:rsidRPr="007A73E2">
              <w:rPr>
                <w:b/>
                <w:color w:val="000000"/>
                <w:sz w:val="20"/>
                <w:szCs w:val="20"/>
              </w:rPr>
              <w:t>Počet zrušených a zaniknutých živnostenských oprávnení</w:t>
            </w:r>
          </w:p>
        </w:tc>
        <w:tc>
          <w:tcPr>
            <w:tcW w:w="3974" w:type="dxa"/>
            <w:gridSpan w:val="2"/>
            <w:tcBorders>
              <w:bottom w:val="single" w:sz="18" w:space="0" w:color="auto"/>
            </w:tcBorders>
            <w:vAlign w:val="center"/>
          </w:tcPr>
          <w:p w:rsidR="007A73E2" w:rsidRPr="007A73E2" w:rsidRDefault="007A73E2" w:rsidP="007A73E2">
            <w:pPr>
              <w:spacing w:line="240" w:lineRule="auto"/>
              <w:contextualSpacing/>
              <w:jc w:val="right"/>
              <w:rPr>
                <w:sz w:val="20"/>
                <w:szCs w:val="20"/>
              </w:rPr>
            </w:pPr>
            <w:r w:rsidRPr="007A73E2">
              <w:rPr>
                <w:sz w:val="20"/>
                <w:szCs w:val="20"/>
              </w:rPr>
              <w:t>-</w:t>
            </w:r>
          </w:p>
        </w:tc>
      </w:tr>
    </w:tbl>
    <w:p w:rsidR="007A73E2" w:rsidRPr="00B26E7E" w:rsidRDefault="007A73E2" w:rsidP="007A73E2">
      <w:pPr>
        <w:spacing w:line="240" w:lineRule="auto"/>
        <w:contextualSpacing/>
      </w:pPr>
      <w:r>
        <w:t xml:space="preserve">        </w:t>
      </w:r>
      <w:r w:rsidR="00413360">
        <w:t xml:space="preserve"> </w:t>
      </w:r>
      <w:r>
        <w:t xml:space="preserve"> </w:t>
      </w:r>
      <w:r w:rsidRPr="00B26E7E">
        <w:t xml:space="preserve">Zdroj: Obvodný úrad </w:t>
      </w:r>
      <w:r>
        <w:t>Považská Bystrica, Námestovo a Rožňava</w:t>
      </w:r>
    </w:p>
    <w:p w:rsidR="007A73E2" w:rsidRDefault="007A73E2" w:rsidP="007A73E2">
      <w:pPr>
        <w:contextualSpacing/>
      </w:pPr>
    </w:p>
    <w:p w:rsidR="008A19EF" w:rsidRDefault="007A73E2" w:rsidP="007A73E2">
      <w:pPr>
        <w:spacing w:before="0"/>
        <w:ind w:firstLine="720"/>
        <w:contextualSpacing/>
      </w:pPr>
      <w:r>
        <w:t>Na základe súhrnného časového obdobia 2004 - 2008 môžeme usúdiť, že najväčší počet nových podnikateľov (7 597) bol evidovaný v Námestove a najmenší (1 628) v Rožňave. K pozastaveniu živnosti došlo najviac v Námestove (8 242), naopak k ich zrušeniu a zániku došlo v Považskej Bystrici (8 700). Pozastavenie, ako aj zrušenie a zánik živnosti sme za Rožňavu neposudzovali, nakoľko tieto údaje nemala k dispozícii</w:t>
      </w:r>
      <w:r w:rsidRPr="00B26E7E">
        <w:t>.</w:t>
      </w:r>
    </w:p>
    <w:p w:rsidR="00D65BBB" w:rsidRDefault="00D65BBB" w:rsidP="00D65BBB">
      <w:pPr>
        <w:spacing w:before="0"/>
        <w:contextualSpacing/>
        <w:rPr>
          <w:bCs/>
        </w:rPr>
      </w:pPr>
    </w:p>
    <w:p w:rsidR="00413360" w:rsidRPr="0098758A" w:rsidRDefault="00413360" w:rsidP="00413360">
      <w:pPr>
        <w:pStyle w:val="ZPPodNadpisKapitolyTimesNewRoman"/>
      </w:pPr>
      <w:r w:rsidRPr="0098758A">
        <w:t xml:space="preserve">Analýza </w:t>
      </w:r>
      <w:r w:rsidRPr="00413360">
        <w:t>podnikateľského subjektu podnikajúceho na základe živnostenského oprávnenia</w:t>
      </w:r>
    </w:p>
    <w:p w:rsidR="00413360" w:rsidRPr="007938BD" w:rsidRDefault="00413360" w:rsidP="00413360">
      <w:pPr>
        <w:contextualSpacing/>
        <w:rPr>
          <w:b/>
        </w:rPr>
      </w:pPr>
      <w:r w:rsidRPr="007938BD">
        <w:rPr>
          <w:b/>
        </w:rPr>
        <w:t>Evidenčný list podnikateľa</w:t>
      </w:r>
    </w:p>
    <w:p w:rsidR="00413360" w:rsidRDefault="00413360" w:rsidP="00413360">
      <w:pPr>
        <w:tabs>
          <w:tab w:val="left" w:pos="4536"/>
        </w:tabs>
        <w:contextualSpacing/>
      </w:pPr>
      <w:r>
        <w:t xml:space="preserve">Obchodné meno: </w:t>
      </w:r>
      <w:r>
        <w:tab/>
        <w:t>Mária Škubová - ŠPERK</w:t>
      </w:r>
    </w:p>
    <w:p w:rsidR="00413360" w:rsidRDefault="00413360" w:rsidP="00413360">
      <w:pPr>
        <w:tabs>
          <w:tab w:val="left" w:pos="4536"/>
        </w:tabs>
        <w:contextualSpacing/>
      </w:pPr>
      <w:r>
        <w:t xml:space="preserve">IČO: </w:t>
      </w:r>
      <w:r>
        <w:tab/>
      </w:r>
      <w:r w:rsidRPr="008E3955">
        <w:t>33814708</w:t>
      </w:r>
    </w:p>
    <w:p w:rsidR="00413360" w:rsidRDefault="00413360" w:rsidP="00413360">
      <w:pPr>
        <w:tabs>
          <w:tab w:val="left" w:pos="4536"/>
        </w:tabs>
        <w:ind w:left="4530" w:hanging="4530"/>
        <w:contextualSpacing/>
      </w:pPr>
      <w:r w:rsidRPr="00D15876">
        <w:rPr>
          <w:rStyle w:val="bold"/>
        </w:rPr>
        <w:t xml:space="preserve">IČ DPH: </w:t>
      </w:r>
      <w:r>
        <w:rPr>
          <w:rStyle w:val="bold"/>
        </w:rPr>
        <w:tab/>
      </w:r>
      <w:r w:rsidRPr="00D15876">
        <w:t>SK1020291393</w:t>
      </w:r>
      <w:r>
        <w:t xml:space="preserve"> (slúži na registráciu daňovému úradu)</w:t>
      </w:r>
    </w:p>
    <w:p w:rsidR="00413360" w:rsidRDefault="00413360" w:rsidP="00413360">
      <w:pPr>
        <w:tabs>
          <w:tab w:val="left" w:pos="4536"/>
        </w:tabs>
        <w:contextualSpacing/>
      </w:pPr>
      <w:r>
        <w:t xml:space="preserve">Právna forma: </w:t>
      </w:r>
      <w:r>
        <w:tab/>
        <w:t>fyzická osoba - živnostník</w:t>
      </w:r>
    </w:p>
    <w:p w:rsidR="00413360" w:rsidRDefault="00413360" w:rsidP="00413360">
      <w:pPr>
        <w:tabs>
          <w:tab w:val="left" w:pos="4536"/>
        </w:tabs>
        <w:contextualSpacing/>
      </w:pPr>
      <w:r>
        <w:t xml:space="preserve">Druh podnikania: </w:t>
      </w:r>
      <w:r>
        <w:tab/>
        <w:t>maloobchod a veľkoobchod</w:t>
      </w:r>
    </w:p>
    <w:p w:rsidR="00413360" w:rsidRDefault="00413360" w:rsidP="00413360">
      <w:pPr>
        <w:tabs>
          <w:tab w:val="left" w:pos="4678"/>
        </w:tabs>
        <w:ind w:left="4545" w:hanging="4545"/>
        <w:contextualSpacing/>
      </w:pPr>
      <w:r>
        <w:lastRenderedPageBreak/>
        <w:t>Oprávnenie na podnikateľskú činnosť:</w:t>
      </w:r>
      <w:r>
        <w:tab/>
        <w:t>Živnostenský list - ev. č.: ŽO 95/1894/000</w:t>
      </w:r>
      <w:r>
        <w:rPr>
          <w:lang w:val="en-US"/>
        </w:rPr>
        <w:t xml:space="preserve">; reg. č.: </w:t>
      </w:r>
      <w:r>
        <w:t>2328/95; dňa 25. 9. 1995; Obvodný úrad Senica</w:t>
      </w:r>
    </w:p>
    <w:p w:rsidR="00413360" w:rsidRDefault="00413360" w:rsidP="00413360">
      <w:pPr>
        <w:tabs>
          <w:tab w:val="left" w:pos="4536"/>
        </w:tabs>
        <w:contextualSpacing/>
      </w:pPr>
      <w:r>
        <w:t xml:space="preserve">Deň začatia podnikania: </w:t>
      </w:r>
      <w:r>
        <w:tab/>
        <w:t>12. 9. 1995</w:t>
      </w:r>
    </w:p>
    <w:p w:rsidR="00413360" w:rsidRDefault="00413360" w:rsidP="00413360">
      <w:pPr>
        <w:tabs>
          <w:tab w:val="left" w:pos="4536"/>
        </w:tabs>
        <w:contextualSpacing/>
      </w:pPr>
      <w:r>
        <w:t xml:space="preserve">Miesto podnikania: </w:t>
      </w:r>
      <w:r>
        <w:tab/>
        <w:t>Bratislavská 269/3, 908 51 Holíč</w:t>
      </w:r>
    </w:p>
    <w:p w:rsidR="00413360" w:rsidRDefault="00413360" w:rsidP="00413360">
      <w:pPr>
        <w:tabs>
          <w:tab w:val="left" w:pos="4536"/>
        </w:tabs>
        <w:contextualSpacing/>
      </w:pPr>
      <w:r>
        <w:t>Majiteľ podniku:</w:t>
      </w:r>
      <w:r>
        <w:tab/>
        <w:t>Mária Škubová</w:t>
      </w:r>
    </w:p>
    <w:p w:rsidR="00413360" w:rsidRDefault="00413360" w:rsidP="00413360">
      <w:pPr>
        <w:tabs>
          <w:tab w:val="left" w:pos="4536"/>
        </w:tabs>
        <w:contextualSpacing/>
      </w:pPr>
      <w:r>
        <w:t>Počet zamestnancov podniku:</w:t>
      </w:r>
      <w:r>
        <w:tab/>
        <w:t>50</w:t>
      </w:r>
      <w:r>
        <w:tab/>
      </w:r>
    </w:p>
    <w:p w:rsidR="00413360" w:rsidRDefault="00413360" w:rsidP="00413360">
      <w:pPr>
        <w:contextualSpacing/>
      </w:pPr>
    </w:p>
    <w:p w:rsidR="00413360" w:rsidRPr="00033E33" w:rsidRDefault="00413360" w:rsidP="00413360">
      <w:pPr>
        <w:contextualSpacing/>
        <w:rPr>
          <w:b/>
        </w:rPr>
      </w:pPr>
      <w:r w:rsidRPr="00033E33">
        <w:rPr>
          <w:b/>
        </w:rPr>
        <w:t>Predmet podnikania</w:t>
      </w:r>
    </w:p>
    <w:p w:rsidR="00413360" w:rsidRDefault="00413360" w:rsidP="00413360">
      <w:pPr>
        <w:ind w:firstLine="708"/>
        <w:contextualSpacing/>
      </w:pPr>
      <w:r>
        <w:t>Nami analyzovaný podnikateľský subjekt sústreďuje svoju pozornosť prevažne na tieto predmety podnikania:</w:t>
      </w:r>
    </w:p>
    <w:p w:rsidR="00413360" w:rsidRDefault="00413360" w:rsidP="00B560E4">
      <w:pPr>
        <w:numPr>
          <w:ilvl w:val="0"/>
          <w:numId w:val="83"/>
        </w:numPr>
        <w:spacing w:before="0"/>
        <w:contextualSpacing/>
      </w:pPr>
      <w:r>
        <w:t>kúpa</w:t>
      </w:r>
      <w:r w:rsidRPr="00D15876">
        <w:t xml:space="preserve"> tovaru za účelom jeho predaja konečnému spotrebiteľovi (maloobchod) v rozsahu voľnej živnosti</w:t>
      </w:r>
      <w:r>
        <w:t xml:space="preserve"> a</w:t>
      </w:r>
    </w:p>
    <w:p w:rsidR="00413360" w:rsidRDefault="00413360" w:rsidP="00B560E4">
      <w:pPr>
        <w:numPr>
          <w:ilvl w:val="0"/>
          <w:numId w:val="83"/>
        </w:numPr>
        <w:spacing w:before="0"/>
        <w:contextualSpacing/>
      </w:pPr>
      <w:r>
        <w:t>k</w:t>
      </w:r>
      <w:r w:rsidRPr="00D15876">
        <w:t>úpa tovaru za účelom jeho predaja iným prevádzkovateľom živnosti (veľkoobchod) v rozsahu voľnej živnosti</w:t>
      </w:r>
      <w:r>
        <w:t>,</w:t>
      </w:r>
    </w:p>
    <w:p w:rsidR="00413360" w:rsidRDefault="00413360" w:rsidP="00413360">
      <w:pPr>
        <w:contextualSpacing/>
      </w:pPr>
      <w:r>
        <w:t xml:space="preserve">pričom tovarmi sú šperky zo zlata, striebra a ocele, hodiny a hodinky. Na predaj ponúka široký sortiment šperkov i hodiniek známych značiek, ako napr. </w:t>
      </w:r>
      <w:r w:rsidRPr="00D15876">
        <w:t>Swarovsk</w:t>
      </w:r>
      <w:r>
        <w:t>i</w:t>
      </w:r>
      <w:r w:rsidRPr="00D15876">
        <w:t>, Festina, Tissot, Legend</w:t>
      </w:r>
      <w:r>
        <w:t>, Lacoste, Casio, Clyda, Diesel či Fossil.</w:t>
      </w:r>
    </w:p>
    <w:p w:rsidR="00413360" w:rsidRDefault="00413360" w:rsidP="00413360">
      <w:pPr>
        <w:ind w:firstLine="708"/>
        <w:contextualSpacing/>
      </w:pPr>
      <w:r>
        <w:t xml:space="preserve">K </w:t>
      </w:r>
      <w:r w:rsidRPr="008E3955">
        <w:t>18. 7. 1994</w:t>
      </w:r>
      <w:r>
        <w:t xml:space="preserve"> začal podnik vykonávať svoju podnikateľskú činnosť len v oblasti maloobchodu s klenotmi, zlatom, sklom, bižutériou a keramikou a ponúkal kopírovacie služby, avšak po rozšírení predmetu živnosti je od </w:t>
      </w:r>
      <w:r w:rsidRPr="00D15876">
        <w:t>12. 9. 1995</w:t>
      </w:r>
      <w:r>
        <w:t> oprávnený vykonávať aj k</w:t>
      </w:r>
      <w:r w:rsidRPr="00D15876">
        <w:t>úp</w:t>
      </w:r>
      <w:r>
        <w:t>u</w:t>
      </w:r>
      <w:r w:rsidRPr="00D15876">
        <w:t xml:space="preserve"> tovaru za účelom jeho predaja konečnému spotrebiteľovi (maloobchod) v rozsahu voľnej živnosti</w:t>
      </w:r>
      <w:r>
        <w:t>, k</w:t>
      </w:r>
      <w:r w:rsidRPr="00D15876">
        <w:t>úp</w:t>
      </w:r>
      <w:r>
        <w:t>u</w:t>
      </w:r>
      <w:r w:rsidRPr="00D15876">
        <w:t xml:space="preserve"> tovaru za účelom jeho predaja iným prevádzkovateľom živnosti (veľkoobchod) v rozsahu voľnej živnosti</w:t>
      </w:r>
      <w:r>
        <w:t xml:space="preserve"> a sprostredkovateľskú činnosť. </w:t>
      </w:r>
    </w:p>
    <w:p w:rsidR="00413360" w:rsidRDefault="00413360" w:rsidP="00B02C11">
      <w:pPr>
        <w:ind w:firstLine="708"/>
        <w:contextualSpacing/>
      </w:pPr>
      <w:r>
        <w:t>Podnik má zriadených viacero prevádzok. Zo začiatku boli zriadené štyri prevádzkarne, ktorých počet sa po rozšírení predmetu živnosti rozšíril až na 20. Avšak prelom nastal v roku 2009, kedy podnik z viacerých dôvodov zrušil 5 zo svojich prevádzok. K 1. januáru 2010 má podnik zriadených 15 maloobchod</w:t>
      </w:r>
      <w:r w:rsidR="00B02C11">
        <w:t>ných predajní -      v   Holíči (</w:t>
      </w:r>
      <w:r>
        <w:t>vrátane veľkoobchodu</w:t>
      </w:r>
      <w:r w:rsidR="00B02C11">
        <w:t xml:space="preserve">), Skalici (2x), Bratislave (2x), Trenčíne, Prievidzi, Nitre, Žiline, Martine, </w:t>
      </w:r>
      <w:r>
        <w:t>Zvolene</w:t>
      </w:r>
      <w:r w:rsidR="00B02C11">
        <w:t xml:space="preserve">, </w:t>
      </w:r>
      <w:r>
        <w:t>Luče</w:t>
      </w:r>
      <w:r w:rsidR="00B02C11">
        <w:t xml:space="preserve">nci, Prešove, Košiciach a </w:t>
      </w:r>
      <w:r>
        <w:t xml:space="preserve">Spišskej Novej </w:t>
      </w:r>
      <w:r w:rsidR="00B02C11">
        <w:t>V</w:t>
      </w:r>
      <w:r>
        <w:t>si.</w:t>
      </w:r>
    </w:p>
    <w:p w:rsidR="00413360" w:rsidRDefault="00413360" w:rsidP="00413360">
      <w:pPr>
        <w:contextualSpacing/>
      </w:pPr>
    </w:p>
    <w:p w:rsidR="00B02C11" w:rsidRDefault="00B02C11" w:rsidP="00413360">
      <w:pPr>
        <w:contextualSpacing/>
      </w:pPr>
    </w:p>
    <w:p w:rsidR="00B02C11" w:rsidRDefault="00B02C11" w:rsidP="00413360">
      <w:pPr>
        <w:contextualSpacing/>
      </w:pPr>
    </w:p>
    <w:p w:rsidR="00B02C11" w:rsidRDefault="00B02C11" w:rsidP="00413360">
      <w:pPr>
        <w:contextualSpacing/>
      </w:pPr>
    </w:p>
    <w:p w:rsidR="00413360" w:rsidRPr="000A00FA" w:rsidRDefault="00413360" w:rsidP="00413360">
      <w:pPr>
        <w:contextualSpacing/>
        <w:rPr>
          <w:b/>
        </w:rPr>
      </w:pPr>
      <w:r w:rsidRPr="000A00FA">
        <w:rPr>
          <w:b/>
        </w:rPr>
        <w:lastRenderedPageBreak/>
        <w:t>Proces získania živnostenského oprávnenia</w:t>
      </w:r>
    </w:p>
    <w:p w:rsidR="00413360" w:rsidRDefault="00413360" w:rsidP="00413360">
      <w:pPr>
        <w:ind w:firstLine="708"/>
        <w:contextualSpacing/>
      </w:pPr>
      <w:r>
        <w:t>Pri vybavovaní živnostenského oprávnenia nenastali žiadne prieťahy, všetko prebehlo bez akýchkoľvek problémov, čo živnostník prisudzuje najmä k vyškolenému a ústretovému personálu živnostenského úradu v Senici.</w:t>
      </w:r>
    </w:p>
    <w:p w:rsidR="00413360" w:rsidRDefault="00413360" w:rsidP="00413360">
      <w:pPr>
        <w:contextualSpacing/>
        <w:rPr>
          <w:b/>
        </w:rPr>
      </w:pPr>
    </w:p>
    <w:p w:rsidR="00413360" w:rsidRPr="008941B0" w:rsidRDefault="00413360" w:rsidP="00413360">
      <w:pPr>
        <w:contextualSpacing/>
        <w:rPr>
          <w:b/>
        </w:rPr>
      </w:pPr>
      <w:r w:rsidRPr="008941B0">
        <w:rPr>
          <w:b/>
        </w:rPr>
        <w:t>Živnostenská kontrola a</w:t>
      </w:r>
      <w:r>
        <w:rPr>
          <w:b/>
        </w:rPr>
        <w:t xml:space="preserve"> udelené </w:t>
      </w:r>
      <w:r w:rsidRPr="008941B0">
        <w:rPr>
          <w:b/>
        </w:rPr>
        <w:t xml:space="preserve">pokuty </w:t>
      </w:r>
    </w:p>
    <w:p w:rsidR="00413360" w:rsidRDefault="00413360" w:rsidP="00413360">
      <w:pPr>
        <w:ind w:firstLine="708"/>
        <w:contextualSpacing/>
      </w:pPr>
      <w:r w:rsidRPr="000276C3">
        <w:t>Podnikateľ je povinný pri prevádzkovaní svojej živnosti dodržiavať podmienky a povinnosti ustanovené zákonom č. 455/1991 Zb. o živnostenskom podnikaní a jej osobitnými predpismi, kontrolu ich dodržiavania vykonáva vecne príslušný živnostenský úrad.</w:t>
      </w:r>
      <w:r>
        <w:t xml:space="preserve"> I keď je podnik dôkladne oboznámený so živnostenským zákonom a pravidelne sa informuje o jeho zmenách, môže sa stať, že niečo opomenie. Keď v roku 2009 prebiehalo v meste Holíč prečíslovanie ulíc, sídlo prevádzky v tomto meste sa zmenilo z ul. Bratislavská 2 na ul. Bratislavská 3, i keď</w:t>
      </w:r>
      <w:r w:rsidRPr="00DF3FC1">
        <w:t xml:space="preserve"> </w:t>
      </w:r>
      <w:r>
        <w:t xml:space="preserve">nedošlo k jeho hmotnému premiestneniu. </w:t>
      </w:r>
      <w:r w:rsidRPr="000276C3">
        <w:t xml:space="preserve">V prípade zmien a doplnkov týkajúcich sa údajov a dokladov ustanovených na ohlásenie živnosti je </w:t>
      </w:r>
      <w:r>
        <w:t xml:space="preserve">však </w:t>
      </w:r>
      <w:r w:rsidRPr="000276C3">
        <w:t xml:space="preserve">podnikateľ povinný oznámiť to príslušnému živnostenskému úradu a predložiť o nich doklady do  15 dní od vzniku týchto zmien. </w:t>
      </w:r>
      <w:r>
        <w:t>Keďže podnik neohlásil túto zmenu údajov obsiahnutých v ohlásení, bola mu kontrolórom živnostenského úradu uložená bloková pokuta vo výške 35 eur, ktorú zaplatil a následne urobil nápravu. Ž</w:t>
      </w:r>
      <w:r w:rsidRPr="000276C3">
        <w:t xml:space="preserve">ivnostenský úrad </w:t>
      </w:r>
      <w:r>
        <w:t xml:space="preserve">však </w:t>
      </w:r>
      <w:r w:rsidRPr="000276C3">
        <w:t xml:space="preserve">môže </w:t>
      </w:r>
      <w:r>
        <w:t xml:space="preserve">v tomto prípade </w:t>
      </w:r>
      <w:r w:rsidRPr="000276C3">
        <w:t>uložiť podnikateľovi blokovú pokutu</w:t>
      </w:r>
      <w:r>
        <w:t xml:space="preserve"> (obsahuje</w:t>
      </w:r>
      <w:r w:rsidRPr="000276C3">
        <w:t xml:space="preserve"> údaj</w:t>
      </w:r>
      <w:r>
        <w:t>e</w:t>
      </w:r>
      <w:r w:rsidRPr="000276C3">
        <w:t xml:space="preserve"> o tom, kedy a za aké porušenie povinnosti bola </w:t>
      </w:r>
      <w:r>
        <w:t>uložená) do 165 eur, proti ktorej sa nemožno odvolať</w:t>
      </w:r>
      <w:r w:rsidRPr="000276C3">
        <w:t xml:space="preserve">. </w:t>
      </w:r>
    </w:p>
    <w:p w:rsidR="00413360" w:rsidRDefault="00413360" w:rsidP="00413360">
      <w:pPr>
        <w:contextualSpacing/>
      </w:pPr>
    </w:p>
    <w:p w:rsidR="00413360" w:rsidRPr="00317634" w:rsidRDefault="00413360" w:rsidP="00413360">
      <w:pPr>
        <w:contextualSpacing/>
        <w:rPr>
          <w:b/>
        </w:rPr>
      </w:pPr>
      <w:r w:rsidRPr="00317634">
        <w:rPr>
          <w:b/>
        </w:rPr>
        <w:t>Analýza výsledku hospodárenia</w:t>
      </w:r>
    </w:p>
    <w:p w:rsidR="00413360" w:rsidRDefault="00413360" w:rsidP="00413360">
      <w:pPr>
        <w:spacing w:before="0"/>
        <w:contextualSpacing/>
        <w:rPr>
          <w:bCs/>
        </w:rPr>
      </w:pPr>
      <w:r>
        <w:tab/>
        <w:t>Podnikateľ vedie jednoduché účtovníctvo, teda jeho hospodársky výsledok spočíva v rozdiely medzi príjmami a výdajmi. Len na základe osobných konzultácií (živnostník, odvolávajúci sa na to, že výsledok hospodárenia podlieha daňovému tajomstvu a ide o dôverné informácie, neposkytol výsledok svojho hospodárenia) môžeme konštatovať, že podnik dosahuje aj napriek pretrvávajúcej kríze v sledovanom období 2004 - 2008 zisk, čím sa zaraďuje medzi ziskovú spoločnosť. Prosperitu podniku prisudzuje podnikateľ najmä svojim dlhoročným odborným znalostiam a skúsenostiam, nakoľko v tomto odbore pôsobí už 16-tym rokom, ako aj sledovaniu cien a potenciálnej konkurencie na trhu.</w:t>
      </w:r>
    </w:p>
    <w:p w:rsidR="00D65BBB" w:rsidRDefault="00D65BBB" w:rsidP="00956A22">
      <w:pPr>
        <w:pStyle w:val="ZPNadpisKapitolyTimesNewRoman"/>
      </w:pPr>
      <w:bookmarkStart w:id="15" w:name="_Toc224306955"/>
      <w:bookmarkStart w:id="16" w:name="_Toc102191192"/>
      <w:bookmarkStart w:id="17" w:name="_Toc241977238"/>
      <w:r>
        <w:lastRenderedPageBreak/>
        <w:t>Záver</w:t>
      </w:r>
      <w:bookmarkEnd w:id="15"/>
      <w:bookmarkEnd w:id="16"/>
      <w:bookmarkEnd w:id="17"/>
    </w:p>
    <w:p w:rsidR="00D65BBB" w:rsidRDefault="00D65BBB" w:rsidP="00D65BBB">
      <w:pPr>
        <w:ind w:firstLine="709"/>
        <w:rPr>
          <w:color w:val="000000"/>
        </w:rPr>
      </w:pPr>
      <w:r>
        <w:rPr>
          <w:color w:val="000000"/>
        </w:rPr>
        <w:t xml:space="preserve">Verejná správa ako celok i jej jednotlivé zložky však prechádzali výraznými zmenami - reformami, súvisiacimi predovšetkým s procesmi decentralizácie, ktoré sa stali nástrojom zmien v organizačnej štruktúre v štáte, v posilňovaní postavenia jednotlivca pri uplatňovaní jeho práv a slobôd voči subjektom verejnej správe a boli aj dôsledkom vývoja európskej hospodárskej a politickej integrácie. Hlavným cieľom Európskeho spoločenstva bolo vytvoriť jednotný trh, v ktorom by boli zaručené základné slobody, do ktorých spadá aj sloboda podnikania. Podnikanie </w:t>
      </w:r>
      <w:r w:rsidRPr="00344365">
        <w:t xml:space="preserve">je </w:t>
      </w:r>
      <w:r>
        <w:t xml:space="preserve">totiž </w:t>
      </w:r>
      <w:r w:rsidRPr="00344365">
        <w:t>základným prvkom efektívneho fungovania trhov</w:t>
      </w:r>
      <w:r>
        <w:t>ého</w:t>
      </w:r>
      <w:r>
        <w:rPr>
          <w:color w:val="000000"/>
        </w:rPr>
        <w:t xml:space="preserve"> hospodárstva.      </w:t>
      </w:r>
    </w:p>
    <w:p w:rsidR="00D65BBB" w:rsidRDefault="00D65BBB" w:rsidP="002A043E">
      <w:pPr>
        <w:ind w:firstLine="709"/>
      </w:pPr>
      <w:r>
        <w:rPr>
          <w:color w:val="000000"/>
        </w:rPr>
        <w:t xml:space="preserve">Správny poriadok, upravujúci najmä </w:t>
      </w:r>
      <w:r w:rsidRPr="00344365">
        <w:t xml:space="preserve">postup </w:t>
      </w:r>
      <w:r>
        <w:t xml:space="preserve">(napr. pri získaní živnostenského oprávnenia) </w:t>
      </w:r>
      <w:r w:rsidRPr="00344365">
        <w:t>správnych orgánov</w:t>
      </w:r>
      <w:r>
        <w:t xml:space="preserve"> (napr. Obvodného úradu) a</w:t>
      </w:r>
      <w:r w:rsidRPr="00344365">
        <w:t xml:space="preserve"> účastníkov konania</w:t>
      </w:r>
      <w:r>
        <w:t xml:space="preserve"> (napr. žiadateľ živnostenského oprávnenia)</w:t>
      </w:r>
      <w:r w:rsidRPr="00344365">
        <w:t xml:space="preserve"> pri vydávaní, preskúmavaní a nútenom výkone rozhodnutia formou individuálneho správneho aktu, v</w:t>
      </w:r>
      <w:r>
        <w:t xml:space="preserve"> rámci </w:t>
      </w:r>
      <w:r w:rsidRPr="00344365">
        <w:t>ktor</w:t>
      </w:r>
      <w:r>
        <w:t>ého</w:t>
      </w:r>
      <w:r w:rsidRPr="00344365">
        <w:t xml:space="preserve"> správne orgány rozhodujú o právach a právom chránených záujmoch a povinnostiach fyzických a právnických osôb v oblasti verejnej správy</w:t>
      </w:r>
      <w:r>
        <w:t>,</w:t>
      </w:r>
      <w:r>
        <w:rPr>
          <w:color w:val="000000"/>
        </w:rPr>
        <w:t xml:space="preserve"> sa pokladá za najčastejšie aplikovaný právny predpis o verejnej správe. I keď sa uplatňuje už takmer 43 rokov, prebehol len tromi novelizáciami, čo z neho robí jeden z najstabilnejších právnych predpisov v právnom poriadku Slovenskej republiky. Verejnoprávne pravidlá a podmienky vykonávania živnostenského podnikania na území Slovenskej republiky, ustanovené vo verejnom záujme, do ktorého spadajú aj podmienky získania, prevádzkovania a zániku živnostenského oprávnenia, kontrola ich dodržiavania a sústava orgánov štátnej správy vrátane jej pôsobnosti v danej oblasti však upravuje živnostenský zákon. Správny poriadok je však len všeobecný právny predpis,</w:t>
      </w:r>
      <w:r w:rsidRPr="00A14E3C">
        <w:rPr>
          <w:b/>
        </w:rPr>
        <w:t xml:space="preserve"> </w:t>
      </w:r>
      <w:r w:rsidRPr="00A14E3C">
        <w:t>pretože upravuje procesné práva a povinnosti v správnom konaní v celej verejnej správe</w:t>
      </w:r>
      <w:r>
        <w:t>. V</w:t>
      </w:r>
      <w:r w:rsidRPr="00A14E3C">
        <w:t xml:space="preserve">oči osobitným </w:t>
      </w:r>
      <w:r>
        <w:t>právnym predpisom</w:t>
      </w:r>
      <w:r w:rsidRPr="00A14E3C">
        <w:t xml:space="preserve"> </w:t>
      </w:r>
      <w:r>
        <w:t xml:space="preserve">zaujíma subsidiárne postavenie, čo znamená, že vo veciach upravenými týmito osobitnými právnymi predpismi sa v konaní postupuje prednostne podľa nich (vyplývajúce zo zásady lex specialis má prednosť pred lex generalis). Porovnaním správneho poriadku a živnostenského zákona sme zistili, že tieto odlišnosti sa týkajú najmä postupu živnostenského úradu v konaní o vzniku živnostenské oprávnenia a v konaní o uložení pokuty (rozdielnosť v lehotách na vydanie rozhodnutia, právnych účinkoch na začatie konania a vydaní rozhodnutia). </w:t>
      </w:r>
    </w:p>
    <w:p w:rsidR="00D65BBB" w:rsidRDefault="00E16B17" w:rsidP="00D65BBB">
      <w:pPr>
        <w:ind w:firstLine="709"/>
      </w:pPr>
      <w:r>
        <w:rPr>
          <w:color w:val="000000"/>
        </w:rPr>
        <w:lastRenderedPageBreak/>
        <w:t xml:space="preserve">Pri analýze vývoja živnostenského podnikania v podmienkach Slovenskej republiky a jej jednotlivých oblastiach za sledované obdobie 2004 - 2008 sme zistili, že počet podnikateľských subjektov sa neustále mení. </w:t>
      </w:r>
      <w:r w:rsidRPr="00344365">
        <w:rPr>
          <w:bCs/>
        </w:rPr>
        <w:t>Každým rokom sa zvyšuje počet podnikateľov, niektorí však svoju podnikateľskú činnosť aj rušia.</w:t>
      </w:r>
      <w:r>
        <w:rPr>
          <w:bCs/>
        </w:rPr>
        <w:t xml:space="preserve"> </w:t>
      </w:r>
      <w:r w:rsidRPr="00344365">
        <w:rPr>
          <w:bCs/>
        </w:rPr>
        <w:t>K 31.12. 2008 bolo v Slovenskej republike celkovo evidovaných 588 181 ekonomických subjektov, z toho 169 960 právnických osôb a 418 221 fyzických osôb, čo v porovnaní s rokom 2004 predstavuje nárast o 19,30 %.</w:t>
      </w:r>
      <w:r>
        <w:rPr>
          <w:bCs/>
        </w:rPr>
        <w:t xml:space="preserve"> N</w:t>
      </w:r>
      <w:r w:rsidRPr="00344365">
        <w:rPr>
          <w:bCs/>
        </w:rPr>
        <w:t>ajväčšie zastúpenie v počte ekonomických subjektov ma</w:t>
      </w:r>
      <w:r>
        <w:rPr>
          <w:bCs/>
        </w:rPr>
        <w:t>li</w:t>
      </w:r>
      <w:r w:rsidRPr="00344365">
        <w:rPr>
          <w:bCs/>
        </w:rPr>
        <w:t xml:space="preserve"> </w:t>
      </w:r>
      <w:r>
        <w:rPr>
          <w:bCs/>
        </w:rPr>
        <w:t xml:space="preserve">teda </w:t>
      </w:r>
      <w:r w:rsidRPr="00344365">
        <w:rPr>
          <w:bCs/>
        </w:rPr>
        <w:t xml:space="preserve">fyzické osoby, v rámci </w:t>
      </w:r>
      <w:r>
        <w:rPr>
          <w:bCs/>
        </w:rPr>
        <w:t xml:space="preserve">ktorých sa na prvej priečke umiestnili živnostníci. </w:t>
      </w:r>
      <w:r w:rsidRPr="00AE1161">
        <w:t xml:space="preserve">Najväčšie zastúpenie </w:t>
      </w:r>
      <w:r>
        <w:t>fyzi</w:t>
      </w:r>
      <w:r w:rsidRPr="00AE1161">
        <w:t xml:space="preserve">ckých osôb </w:t>
      </w:r>
      <w:r>
        <w:t>v priemere bolo</w:t>
      </w:r>
      <w:r w:rsidRPr="00AE1161">
        <w:t xml:space="preserve"> </w:t>
      </w:r>
      <w:r>
        <w:t>zaznamenané</w:t>
      </w:r>
      <w:r w:rsidRPr="00AE1161">
        <w:t xml:space="preserve"> v oblasti Západného Slovenska, najmä v Nitrianskom kraji</w:t>
      </w:r>
      <w:r>
        <w:t xml:space="preserve"> (48 572), naopak n</w:t>
      </w:r>
      <w:r w:rsidRPr="00AE1161">
        <w:t xml:space="preserve">ajmenšie bolo </w:t>
      </w:r>
      <w:r>
        <w:t>evidované</w:t>
      </w:r>
      <w:r w:rsidRPr="00AE1161">
        <w:t xml:space="preserve"> v oblasti </w:t>
      </w:r>
      <w:r>
        <w:t>Bratislavského kraja (61 868)</w:t>
      </w:r>
      <w:r w:rsidRPr="00AE1161">
        <w:t>.</w:t>
      </w:r>
      <w:r>
        <w:t xml:space="preserve"> </w:t>
      </w:r>
      <w:r>
        <w:rPr>
          <w:bCs/>
        </w:rPr>
        <w:t>V rámci ekonomických činností sústredili živnostníci svoju pozornosť do rôznych oblastí, najmä však do oblasti obchodu. Počet vydaných rozhodnutí na úseku živnostenského podnikania (vzniknutie, pozastavenie či zrušenie živnostenského oprávnenia) však za sledované obdobie 2004 - 2008 nie je možné komplexne zhodnotiť, nakoľko 9 z 50 oslovených živnostenských úradov, ktoré v prípade našej žiadosti o sprístupnenie informácií vydali kladné rozhodnutie, sprístupnilo informácie nejednotné za stanovené časové obdobie.</w:t>
      </w:r>
      <w:r w:rsidR="00D65BBB">
        <w:t xml:space="preserve"> </w:t>
      </w:r>
    </w:p>
    <w:p w:rsidR="00D65BBB" w:rsidRDefault="00D65BBB" w:rsidP="002A043E">
      <w:pPr>
        <w:spacing w:before="0"/>
        <w:ind w:firstLine="709"/>
        <w:contextualSpacing/>
      </w:pPr>
      <w:r>
        <w:rPr>
          <w:color w:val="000000"/>
        </w:rPr>
        <w:t xml:space="preserve">Pre úspešnú podnikateľskú činnosť by mali byť vytvorené vhodné subjektívne, ako aj objektívne predpoklady. S výnimkou Bratislavského kraja celé územie Slovenskej republiky spadá do </w:t>
      </w:r>
      <w:r w:rsidR="00FD4A24">
        <w:rPr>
          <w:color w:val="000000"/>
        </w:rPr>
        <w:t>jedného z cieľa regionálnej politiky</w:t>
      </w:r>
      <w:r w:rsidR="00BF68F4">
        <w:rPr>
          <w:color w:val="000000"/>
        </w:rPr>
        <w:t xml:space="preserve"> EÚ</w:t>
      </w:r>
      <w:r w:rsidR="00FD4A24">
        <w:rPr>
          <w:color w:val="000000"/>
        </w:rPr>
        <w:t xml:space="preserve"> -</w:t>
      </w:r>
      <w:r>
        <w:rPr>
          <w:color w:val="000000"/>
        </w:rPr>
        <w:t xml:space="preserve"> Konvergencie, </w:t>
      </w:r>
      <w:r w:rsidR="00FD4A24">
        <w:rPr>
          <w:color w:val="000000"/>
        </w:rPr>
        <w:t xml:space="preserve">ktorý je </w:t>
      </w:r>
      <w:r>
        <w:rPr>
          <w:color w:val="000000"/>
        </w:rPr>
        <w:t xml:space="preserve">určený k urýchleniu ekonomického zbližovania najmenej rozvinutých regiónov (regióny na úrovni NUTS 2, ktorých HDP na obyvateľa nedosahuje 75 % priemeru EÚ). </w:t>
      </w:r>
      <w:r w:rsidRPr="00344365">
        <w:rPr>
          <w:color w:val="000000"/>
        </w:rPr>
        <w:t>Po vstupe S</w:t>
      </w:r>
      <w:r>
        <w:rPr>
          <w:color w:val="000000"/>
        </w:rPr>
        <w:t>lovenskej republiky</w:t>
      </w:r>
      <w:r w:rsidRPr="00344365">
        <w:rPr>
          <w:color w:val="000000"/>
        </w:rPr>
        <w:t xml:space="preserve"> do EÚ sa Slovensk</w:t>
      </w:r>
      <w:r>
        <w:rPr>
          <w:color w:val="000000"/>
        </w:rPr>
        <w:t>u</w:t>
      </w:r>
      <w:r w:rsidRPr="00344365">
        <w:rPr>
          <w:color w:val="000000"/>
        </w:rPr>
        <w:t xml:space="preserve"> </w:t>
      </w:r>
      <w:r>
        <w:rPr>
          <w:color w:val="000000"/>
        </w:rPr>
        <w:t xml:space="preserve">otvorili dvere a </w:t>
      </w:r>
      <w:r w:rsidRPr="00344365">
        <w:rPr>
          <w:color w:val="000000"/>
        </w:rPr>
        <w:t xml:space="preserve">mohlo </w:t>
      </w:r>
      <w:r>
        <w:rPr>
          <w:color w:val="000000"/>
        </w:rPr>
        <w:t xml:space="preserve">sa </w:t>
      </w:r>
      <w:r w:rsidRPr="00344365">
        <w:rPr>
          <w:color w:val="000000"/>
        </w:rPr>
        <w:t xml:space="preserve">zapojiť do </w:t>
      </w:r>
      <w:r w:rsidRPr="00344365">
        <w:t>čerpania finančných prostriedkov zo štrukturálnych fondov EÚ</w:t>
      </w:r>
      <w:r>
        <w:t>. Avšak aj štátna pomoc môže prispieť k znižovaniu medziregionálnych rozdielov. Hlavným cieľom je podporiť ekonomickú aktivitu práceschopného obyvateľstva vo forme zamestnania sa v podniku alebo samostatne zárobkovej činnosti. Rast zamestnanosti závisí od občanov a hospodárskej politiky SR, na ktorú vplývajú mnohé vonkajšie faktory. V podnikaní však existujú bariéry, k odstráneniu ktorých by prispelo zjednodušenie administratívneho zaťaženia podnikateľského prostredia a upravenie právnych noriem, aby sa v súlade s európskymi normami mohli implementovať. I keď živnostenský zákon prešiel viacerými zmenami, živnostenské úrady patria k najmenej problémovým inštitúciám z hľadiska prístupu k podnikateľom.</w:t>
      </w:r>
    </w:p>
    <w:p w:rsidR="00526C11" w:rsidRPr="00E16B17" w:rsidRDefault="00526C11" w:rsidP="00956A22">
      <w:pPr>
        <w:pStyle w:val="NadpisKapitoly"/>
        <w:rPr>
          <w:rFonts w:ascii="Times New Roman" w:hAnsi="Times New Roman"/>
        </w:rPr>
      </w:pPr>
      <w:bookmarkStart w:id="18" w:name="_Toc224306956"/>
      <w:bookmarkStart w:id="19" w:name="_Toc102191193"/>
      <w:bookmarkStart w:id="20" w:name="_Toc241977240"/>
      <w:r w:rsidRPr="00E16B17">
        <w:rPr>
          <w:rFonts w:ascii="Times New Roman" w:hAnsi="Times New Roman"/>
        </w:rPr>
        <w:lastRenderedPageBreak/>
        <w:t>Zoznam použitej literatúry</w:t>
      </w:r>
      <w:bookmarkEnd w:id="18"/>
      <w:bookmarkEnd w:id="19"/>
      <w:bookmarkEnd w:id="20"/>
    </w:p>
    <w:p w:rsidR="00E16B17" w:rsidRPr="00344365" w:rsidRDefault="00E16B17" w:rsidP="00B560E4">
      <w:pPr>
        <w:numPr>
          <w:ilvl w:val="0"/>
          <w:numId w:val="74"/>
        </w:numPr>
        <w:spacing w:before="0"/>
        <w:ind w:left="357" w:hanging="357"/>
      </w:pPr>
      <w:r w:rsidRPr="00344365">
        <w:t xml:space="preserve">ALTER, K. J. 2001. </w:t>
      </w:r>
      <w:r w:rsidRPr="00344365">
        <w:rPr>
          <w:i/>
        </w:rPr>
        <w:t>Establishing the Supremacy of European Law. The Making of an International Rule of Law in Europe</w:t>
      </w:r>
      <w:r w:rsidRPr="00344365">
        <w:t>. Oxford : Oxford University Press, 2001.</w:t>
      </w:r>
    </w:p>
    <w:p w:rsidR="00E16B17" w:rsidRPr="00344365" w:rsidRDefault="00E16B17" w:rsidP="00B560E4">
      <w:pPr>
        <w:numPr>
          <w:ilvl w:val="0"/>
          <w:numId w:val="74"/>
        </w:numPr>
        <w:spacing w:before="0"/>
        <w:ind w:left="357" w:hanging="357"/>
      </w:pPr>
      <w:r w:rsidRPr="00344365">
        <w:t xml:space="preserve">BARROW, C. 1996. </w:t>
      </w:r>
      <w:r w:rsidRPr="00344365">
        <w:rPr>
          <w:i/>
        </w:rPr>
        <w:t>Základy drobného podnikání</w:t>
      </w:r>
      <w:r w:rsidRPr="00344365">
        <w:t xml:space="preserve">. Praha : Grada Publishing, 1996. 200 s. ISBN 80-7169-232-8. </w:t>
      </w:r>
    </w:p>
    <w:p w:rsidR="00E16B17" w:rsidRPr="00344365" w:rsidRDefault="00E16B17" w:rsidP="00B560E4">
      <w:pPr>
        <w:numPr>
          <w:ilvl w:val="0"/>
          <w:numId w:val="74"/>
        </w:numPr>
        <w:spacing w:before="0"/>
      </w:pPr>
      <w:r w:rsidRPr="00344365">
        <w:rPr>
          <w:smallCaps/>
        </w:rPr>
        <w:t>BELAJOVÁ, A.</w:t>
      </w:r>
      <w:r w:rsidRPr="00344365">
        <w:t xml:space="preserve"> - BALÁŽOVÁ, E. 2004. </w:t>
      </w:r>
      <w:r w:rsidRPr="00344365">
        <w:rPr>
          <w:i/>
        </w:rPr>
        <w:t>Ekonomika a manažment územnej samosprávy</w:t>
      </w:r>
      <w:r w:rsidRPr="00344365">
        <w:t>. Nitra : SPU, 2004. 183 s. ISBN 80-8069-458-3.</w:t>
      </w:r>
    </w:p>
    <w:p w:rsidR="00E16B17" w:rsidRPr="00344365" w:rsidRDefault="00E16B17" w:rsidP="00B560E4">
      <w:pPr>
        <w:numPr>
          <w:ilvl w:val="0"/>
          <w:numId w:val="74"/>
        </w:numPr>
        <w:spacing w:before="0"/>
        <w:ind w:left="357" w:hanging="357"/>
      </w:pPr>
      <w:r w:rsidRPr="00344365">
        <w:t xml:space="preserve">BELAJOVÁ, A. - FÁZIKOVÁ, M. 2004. </w:t>
      </w:r>
      <w:r w:rsidRPr="00344365">
        <w:rPr>
          <w:i/>
        </w:rPr>
        <w:t>Regionálna ekonomika</w:t>
      </w:r>
      <w:r w:rsidRPr="00344365">
        <w:t xml:space="preserve">. 2.vyd. </w:t>
      </w:r>
      <w:r>
        <w:t xml:space="preserve">             </w:t>
      </w:r>
      <w:r w:rsidRPr="00344365">
        <w:t>Nitra : SPU, 2004. 248 s. ISBN 80-8069-344-7.</w:t>
      </w:r>
    </w:p>
    <w:p w:rsidR="00E16B17" w:rsidRPr="00344365" w:rsidRDefault="00E16B17" w:rsidP="00B560E4">
      <w:pPr>
        <w:numPr>
          <w:ilvl w:val="0"/>
          <w:numId w:val="74"/>
        </w:numPr>
        <w:spacing w:before="0"/>
        <w:ind w:left="357" w:hanging="357"/>
      </w:pPr>
      <w:r w:rsidRPr="00344365">
        <w:t xml:space="preserve">BEZÁKOVÁ, L. a i. 2008. </w:t>
      </w:r>
      <w:r w:rsidRPr="00344365">
        <w:rPr>
          <w:i/>
        </w:rPr>
        <w:t>Základy práva</w:t>
      </w:r>
      <w:r w:rsidRPr="00344365">
        <w:t>. Nitra : SPU, 2008. 128 s.                                 ISBN 978-80-552-0153-5.</w:t>
      </w:r>
    </w:p>
    <w:p w:rsidR="00E16B17" w:rsidRPr="00344365" w:rsidRDefault="00E16B17" w:rsidP="00B560E4">
      <w:pPr>
        <w:numPr>
          <w:ilvl w:val="0"/>
          <w:numId w:val="74"/>
        </w:numPr>
        <w:spacing w:before="0"/>
      </w:pPr>
      <w:r w:rsidRPr="00344365">
        <w:t xml:space="preserve">BIELIK, P. 2006. </w:t>
      </w:r>
      <w:r w:rsidRPr="00344365">
        <w:rPr>
          <w:i/>
        </w:rPr>
        <w:t>Podnikové hospodárstvo</w:t>
      </w:r>
      <w:r w:rsidRPr="00344365">
        <w:t>. Nitra : SPU, 2006. 319 s. ISBN 80-8069-698-5.</w:t>
      </w:r>
    </w:p>
    <w:p w:rsidR="00E16B17" w:rsidRPr="00344365" w:rsidRDefault="00E16B17" w:rsidP="00B560E4">
      <w:pPr>
        <w:numPr>
          <w:ilvl w:val="0"/>
          <w:numId w:val="74"/>
        </w:numPr>
        <w:spacing w:before="0"/>
        <w:ind w:left="357" w:hanging="357"/>
      </w:pPr>
      <w:r w:rsidRPr="00344365">
        <w:t xml:space="preserve">BIELIK, P. - GURČÍK, Ľ. - DVOŘÁK, M. - BLCHÁČ, J. 2002. </w:t>
      </w:r>
      <w:r w:rsidRPr="00344365">
        <w:rPr>
          <w:i/>
        </w:rPr>
        <w:t>Ekonomika podnikov</w:t>
      </w:r>
      <w:r w:rsidRPr="00344365">
        <w:t>.     Nitra : SPU, 2002. 184 s. ISBN 80-8069-069-3.</w:t>
      </w:r>
    </w:p>
    <w:p w:rsidR="00E16B17" w:rsidRPr="00344365" w:rsidRDefault="00E16B17" w:rsidP="00B560E4">
      <w:pPr>
        <w:numPr>
          <w:ilvl w:val="0"/>
          <w:numId w:val="74"/>
        </w:numPr>
        <w:spacing w:before="0"/>
        <w:ind w:left="357" w:hanging="357"/>
        <w:rPr>
          <w:b/>
        </w:rPr>
      </w:pPr>
      <w:r w:rsidRPr="00344365">
        <w:t xml:space="preserve">DAŇKO, J. a i. 2003. </w:t>
      </w:r>
      <w:r w:rsidRPr="00344365">
        <w:rPr>
          <w:i/>
        </w:rPr>
        <w:t>Podnikanie</w:t>
      </w:r>
      <w:r w:rsidRPr="00344365">
        <w:t>. Nitra : SPU, 2003. 168 s. ISBN 80-8069-189-4.</w:t>
      </w:r>
    </w:p>
    <w:p w:rsidR="00E16B17" w:rsidRPr="00344365" w:rsidRDefault="00E16B17" w:rsidP="00B560E4">
      <w:pPr>
        <w:numPr>
          <w:ilvl w:val="0"/>
          <w:numId w:val="74"/>
        </w:numPr>
        <w:spacing w:before="0"/>
        <w:ind w:left="357" w:hanging="357"/>
        <w:jc w:val="left"/>
        <w:rPr>
          <w:color w:val="000000"/>
        </w:rPr>
      </w:pPr>
      <w:r w:rsidRPr="00344365">
        <w:rPr>
          <w:color w:val="000000"/>
        </w:rPr>
        <w:t xml:space="preserve">GOZORA, V. 2005. </w:t>
      </w:r>
      <w:r w:rsidRPr="00344365">
        <w:rPr>
          <w:i/>
          <w:color w:val="000000"/>
        </w:rPr>
        <w:t>Podnikový manažment</w:t>
      </w:r>
      <w:r w:rsidRPr="00344365">
        <w:rPr>
          <w:color w:val="000000"/>
        </w:rPr>
        <w:t>. 3.vyd. Nitra : SPU, 2005. 190 s.                   ISBN 80-8069-462-1.</w:t>
      </w:r>
    </w:p>
    <w:p w:rsidR="00E16B17" w:rsidRPr="00344365" w:rsidRDefault="00E16B17" w:rsidP="00B560E4">
      <w:pPr>
        <w:numPr>
          <w:ilvl w:val="0"/>
          <w:numId w:val="74"/>
        </w:numPr>
        <w:spacing w:before="0"/>
        <w:ind w:left="357" w:hanging="357"/>
        <w:jc w:val="left"/>
        <w:rPr>
          <w:color w:val="000000"/>
        </w:rPr>
      </w:pPr>
      <w:r w:rsidRPr="00344365">
        <w:t xml:space="preserve">GOZORA,V. 2000. </w:t>
      </w:r>
      <w:r w:rsidRPr="00344365">
        <w:rPr>
          <w:i/>
        </w:rPr>
        <w:t>Krízový manažment</w:t>
      </w:r>
      <w:r w:rsidRPr="00344365">
        <w:t xml:space="preserve">. Nitra : SPU, 2000. 182 s. </w:t>
      </w:r>
      <w:r>
        <w:t xml:space="preserve">                           </w:t>
      </w:r>
      <w:r w:rsidRPr="00344365">
        <w:t>ISBN 80-7137-802-X.</w:t>
      </w:r>
    </w:p>
    <w:p w:rsidR="00E16B17" w:rsidRPr="00344365" w:rsidRDefault="00E16B17" w:rsidP="00B560E4">
      <w:pPr>
        <w:numPr>
          <w:ilvl w:val="0"/>
          <w:numId w:val="74"/>
        </w:numPr>
        <w:spacing w:before="0"/>
        <w:ind w:left="357" w:hanging="357"/>
      </w:pPr>
      <w:r w:rsidRPr="00344365">
        <w:t xml:space="preserve">HORVÁTH, Z. 2004. </w:t>
      </w:r>
      <w:r w:rsidRPr="00344365">
        <w:rPr>
          <w:i/>
        </w:rPr>
        <w:t>Príručka Európskej únie</w:t>
      </w:r>
      <w:r w:rsidRPr="00344365">
        <w:t>. Bratislava : Zastúpenie Európskej komisie v SR, 2004. 512 s. ISBN 80-89102-09-3.</w:t>
      </w:r>
    </w:p>
    <w:p w:rsidR="00E16B17" w:rsidRPr="00344365" w:rsidRDefault="00E16B17" w:rsidP="00B560E4">
      <w:pPr>
        <w:numPr>
          <w:ilvl w:val="0"/>
          <w:numId w:val="74"/>
        </w:numPr>
        <w:spacing w:before="0"/>
        <w:ind w:left="357" w:hanging="357"/>
      </w:pPr>
      <w:r w:rsidRPr="00344365">
        <w:t xml:space="preserve">HORVÁTOVÁ, K. 2001. Živnostenský zákon. Úplné znenie s výkladom a praktickými príkladmi. In </w:t>
      </w:r>
      <w:r w:rsidRPr="00344365">
        <w:rPr>
          <w:i/>
        </w:rPr>
        <w:t>EPP</w:t>
      </w:r>
      <w:r w:rsidRPr="00344365">
        <w:t xml:space="preserve">. ISSN 1335-0714, 2001, č. 1, s. 5-129. </w:t>
      </w:r>
    </w:p>
    <w:p w:rsidR="00E16B17" w:rsidRPr="00344365" w:rsidRDefault="00E16B17" w:rsidP="00B560E4">
      <w:pPr>
        <w:numPr>
          <w:ilvl w:val="0"/>
          <w:numId w:val="74"/>
        </w:numPr>
        <w:spacing w:before="0"/>
        <w:ind w:left="357" w:hanging="357"/>
      </w:pPr>
      <w:r w:rsidRPr="00344365">
        <w:t xml:space="preserve">ILKOVÁ, Z. - BANDLEROVÁ, A. 2006. </w:t>
      </w:r>
      <w:r w:rsidRPr="00344365">
        <w:rPr>
          <w:i/>
        </w:rPr>
        <w:t>Obchodné právo</w:t>
      </w:r>
      <w:r w:rsidRPr="00344365">
        <w:t xml:space="preserve">. Nitra : SPU, 2006. 201 s.      ISBN 80-8069-771-X. </w:t>
      </w:r>
    </w:p>
    <w:p w:rsidR="00E16B17" w:rsidRPr="005C6603" w:rsidRDefault="00E16B17" w:rsidP="00B560E4">
      <w:pPr>
        <w:numPr>
          <w:ilvl w:val="0"/>
          <w:numId w:val="74"/>
        </w:numPr>
        <w:spacing w:before="0"/>
        <w:ind w:left="357" w:hanging="357"/>
      </w:pPr>
      <w:r w:rsidRPr="00344365">
        <w:rPr>
          <w:color w:val="000000"/>
        </w:rPr>
        <w:t>JANK</w:t>
      </w:r>
      <w:r w:rsidRPr="00344365">
        <w:rPr>
          <w:caps/>
          <w:color w:val="000000"/>
        </w:rPr>
        <w:t xml:space="preserve">ů, m. - SVOBODOVÁ, A. 1999. </w:t>
      </w:r>
      <w:r w:rsidRPr="00344365">
        <w:rPr>
          <w:i/>
          <w:color w:val="000000"/>
        </w:rPr>
        <w:t>Evropské právní prostředí</w:t>
      </w:r>
      <w:r w:rsidRPr="00344365">
        <w:rPr>
          <w:color w:val="000000"/>
        </w:rPr>
        <w:t xml:space="preserve">. </w:t>
      </w:r>
      <w:r>
        <w:rPr>
          <w:color w:val="000000"/>
        </w:rPr>
        <w:t xml:space="preserve">                       </w:t>
      </w:r>
      <w:r w:rsidRPr="00344365">
        <w:rPr>
          <w:color w:val="000000"/>
        </w:rPr>
        <w:t>Praha : Computer Press, 1999. 139 s. ISBN 80-7226-197-5.</w:t>
      </w:r>
    </w:p>
    <w:p w:rsidR="00E16B17" w:rsidRPr="00344365" w:rsidRDefault="00E16B17" w:rsidP="00B560E4">
      <w:pPr>
        <w:numPr>
          <w:ilvl w:val="0"/>
          <w:numId w:val="74"/>
        </w:numPr>
        <w:spacing w:before="0"/>
        <w:ind w:left="357" w:hanging="357"/>
      </w:pPr>
      <w:r>
        <w:rPr>
          <w:color w:val="000000"/>
        </w:rPr>
        <w:t xml:space="preserve">JAREMKOVÁ, H. 2010. </w:t>
      </w:r>
      <w:r>
        <w:rPr>
          <w:i/>
          <w:color w:val="000000"/>
        </w:rPr>
        <w:t xml:space="preserve">Údaje o činnosti odboru živnostenského podnikania Obvodného úradu Košice a okolie </w:t>
      </w:r>
      <w:r>
        <w:rPr>
          <w:color w:val="000000"/>
        </w:rPr>
        <w:t>[elektronická pošta]. Správa pre: Monika CALETKOVÁ. 2010-02-03 [cit. 2010-23-03]. Osobná komunikácia.</w:t>
      </w:r>
    </w:p>
    <w:p w:rsidR="00E16B17" w:rsidRPr="00344365" w:rsidRDefault="00E16B17" w:rsidP="00B560E4">
      <w:pPr>
        <w:numPr>
          <w:ilvl w:val="0"/>
          <w:numId w:val="74"/>
        </w:numPr>
        <w:spacing w:before="0"/>
        <w:ind w:left="357" w:hanging="357"/>
      </w:pPr>
      <w:r w:rsidRPr="00344365">
        <w:rPr>
          <w:color w:val="000000"/>
        </w:rPr>
        <w:t xml:space="preserve">KNILL, CH. 2001. </w:t>
      </w:r>
      <w:r w:rsidRPr="00344365">
        <w:rPr>
          <w:i/>
          <w:color w:val="000000"/>
        </w:rPr>
        <w:t>The Europeanisation of National Administrations</w:t>
      </w:r>
      <w:r w:rsidRPr="00344365">
        <w:rPr>
          <w:color w:val="000000"/>
        </w:rPr>
        <w:t xml:space="preserve">.                       Cambridge : Cambridge University Press, 2001. </w:t>
      </w:r>
    </w:p>
    <w:p w:rsidR="00E16B17" w:rsidRDefault="00E16B17" w:rsidP="00B560E4">
      <w:pPr>
        <w:numPr>
          <w:ilvl w:val="0"/>
          <w:numId w:val="74"/>
        </w:numPr>
        <w:spacing w:before="0"/>
        <w:ind w:left="357" w:hanging="357"/>
      </w:pPr>
      <w:r w:rsidRPr="00344365">
        <w:lastRenderedPageBreak/>
        <w:t xml:space="preserve">KOŠIČIAROVÁ, S. 2004. </w:t>
      </w:r>
      <w:r w:rsidRPr="00344365">
        <w:rPr>
          <w:i/>
        </w:rPr>
        <w:t>Správny poriadok - Komentár s novelou účinnou od 1.1. 2004</w:t>
      </w:r>
      <w:r w:rsidRPr="00344365">
        <w:t>. Šamorín : Heuréka, 2004. 322 s. ISBN 80-89122-14-0.</w:t>
      </w:r>
    </w:p>
    <w:p w:rsidR="00E16B17" w:rsidRPr="00344365" w:rsidRDefault="00E16B17" w:rsidP="00B560E4">
      <w:pPr>
        <w:numPr>
          <w:ilvl w:val="0"/>
          <w:numId w:val="74"/>
        </w:numPr>
        <w:spacing w:before="0"/>
        <w:ind w:left="357" w:hanging="357"/>
      </w:pPr>
      <w:r>
        <w:rPr>
          <w:color w:val="000000"/>
        </w:rPr>
        <w:t xml:space="preserve">KURJATKOVÁ, D. 2010. </w:t>
      </w:r>
      <w:r>
        <w:rPr>
          <w:i/>
          <w:color w:val="000000"/>
        </w:rPr>
        <w:t xml:space="preserve">Údaje o činnosti odboru živnostenského podnikania Obvodného úradu Banská Bystrica </w:t>
      </w:r>
      <w:r>
        <w:rPr>
          <w:color w:val="000000"/>
        </w:rPr>
        <w:t>[elektronická pošta]. Správa pre: Monika CALETKOVÁ. 2010-02-03 [cit. 2010-23-03]. Osobná komunikácia.</w:t>
      </w:r>
    </w:p>
    <w:p w:rsidR="00E16B17" w:rsidRPr="00825D49" w:rsidRDefault="00E16B17" w:rsidP="00B560E4">
      <w:pPr>
        <w:numPr>
          <w:ilvl w:val="0"/>
          <w:numId w:val="74"/>
        </w:numPr>
        <w:spacing w:before="0"/>
        <w:ind w:left="357" w:hanging="357"/>
      </w:pPr>
      <w:r w:rsidRPr="00344365">
        <w:t xml:space="preserve">LÁZIKOVÁ, J. 2008. </w:t>
      </w:r>
      <w:r w:rsidRPr="00344365">
        <w:rPr>
          <w:bCs/>
          <w:i/>
        </w:rPr>
        <w:t>Základné slobody (2. časť Voľný pohyb služieb a sloboda podnikania)</w:t>
      </w:r>
      <w:r w:rsidRPr="00344365">
        <w:rPr>
          <w:bCs/>
        </w:rPr>
        <w:t xml:space="preserve"> : prednáška. Nitra : SPU, 2008. 6 s.</w:t>
      </w:r>
    </w:p>
    <w:p w:rsidR="00E16B17" w:rsidRPr="00344365" w:rsidRDefault="00E16B17" w:rsidP="00B560E4">
      <w:pPr>
        <w:numPr>
          <w:ilvl w:val="0"/>
          <w:numId w:val="74"/>
        </w:numPr>
        <w:spacing w:before="0"/>
        <w:ind w:left="357" w:hanging="357"/>
      </w:pPr>
      <w:r>
        <w:rPr>
          <w:color w:val="000000"/>
        </w:rPr>
        <w:t xml:space="preserve">LEFKO, V. 2010. </w:t>
      </w:r>
      <w:r>
        <w:rPr>
          <w:i/>
          <w:color w:val="000000"/>
        </w:rPr>
        <w:t xml:space="preserve">Údaje o činnosti odboru živnostenského podnikania Obvodného úradu Považská Bystrica </w:t>
      </w:r>
      <w:r>
        <w:rPr>
          <w:color w:val="000000"/>
        </w:rPr>
        <w:t>[elektronická pošta]. Správa pre: Monika CALETKOVÁ. 2010-03-03   [cit. 2010-23-03]. Osobná komunikácia.</w:t>
      </w:r>
    </w:p>
    <w:p w:rsidR="00E16B17" w:rsidRPr="00825D49" w:rsidRDefault="00E16B17" w:rsidP="00B560E4">
      <w:pPr>
        <w:numPr>
          <w:ilvl w:val="0"/>
          <w:numId w:val="74"/>
        </w:numPr>
        <w:spacing w:before="0"/>
        <w:ind w:left="357" w:hanging="357"/>
        <w:rPr>
          <w:b/>
        </w:rPr>
      </w:pPr>
      <w:r w:rsidRPr="00344365">
        <w:t xml:space="preserve">LISÝ, J a i. 2000. </w:t>
      </w:r>
      <w:r w:rsidRPr="00344365">
        <w:rPr>
          <w:i/>
        </w:rPr>
        <w:t>Ekonómia. Všeobecná ekonomická teória</w:t>
      </w:r>
      <w:r w:rsidRPr="00344365">
        <w:t xml:space="preserve">. 3.vyd. </w:t>
      </w:r>
      <w:r w:rsidR="00043359">
        <w:t xml:space="preserve">                   </w:t>
      </w:r>
      <w:r w:rsidRPr="00344365">
        <w:t>Bratislava : IURA, 2000. 507 s. ISBN 80-88715-81-4.</w:t>
      </w:r>
    </w:p>
    <w:p w:rsidR="00E16B17" w:rsidRPr="00344365" w:rsidRDefault="00E16B17" w:rsidP="00B560E4">
      <w:pPr>
        <w:numPr>
          <w:ilvl w:val="0"/>
          <w:numId w:val="74"/>
        </w:numPr>
        <w:spacing w:before="0"/>
        <w:ind w:left="357" w:hanging="357"/>
        <w:rPr>
          <w:b/>
        </w:rPr>
      </w:pPr>
      <w:r>
        <w:rPr>
          <w:color w:val="000000"/>
        </w:rPr>
        <w:t xml:space="preserve">LOPATNÍKOVÁ, A. 2010. </w:t>
      </w:r>
      <w:r>
        <w:rPr>
          <w:i/>
          <w:color w:val="000000"/>
        </w:rPr>
        <w:t xml:space="preserve">Údaje o činnosti odboru živnostenského podnikania Obvodného úradu Trebišov </w:t>
      </w:r>
      <w:r>
        <w:rPr>
          <w:color w:val="000000"/>
        </w:rPr>
        <w:t>[elektronická pošta]. Správa pre: Monika CALETKOVÁ. 2010-02-03 [cit. 2010-23-03]. Osobná komunikácia.</w:t>
      </w:r>
    </w:p>
    <w:p w:rsidR="00E16B17" w:rsidRPr="00344365" w:rsidRDefault="00E16B17" w:rsidP="00B560E4">
      <w:pPr>
        <w:numPr>
          <w:ilvl w:val="0"/>
          <w:numId w:val="74"/>
        </w:numPr>
        <w:spacing w:before="0"/>
      </w:pPr>
      <w:r w:rsidRPr="00344365">
        <w:t xml:space="preserve">MACHAJOVÁ, J. a i. 2007. </w:t>
      </w:r>
      <w:r w:rsidRPr="00344365">
        <w:rPr>
          <w:i/>
        </w:rPr>
        <w:t>Všeobecné správne právo</w:t>
      </w:r>
      <w:r w:rsidRPr="00344365">
        <w:t xml:space="preserve">. Žilina : Poradca podnikateľa, 2007. 503 s. ISBN 978-80-88931-71-3. </w:t>
      </w:r>
    </w:p>
    <w:p w:rsidR="00E16B17" w:rsidRPr="00344365" w:rsidRDefault="00E16B17" w:rsidP="00B560E4">
      <w:pPr>
        <w:numPr>
          <w:ilvl w:val="0"/>
          <w:numId w:val="74"/>
        </w:numPr>
        <w:spacing w:before="0"/>
        <w:ind w:left="357" w:hanging="357"/>
      </w:pPr>
      <w:r w:rsidRPr="00344365">
        <w:rPr>
          <w:color w:val="000000"/>
        </w:rPr>
        <w:t xml:space="preserve">MALEJČÍK, A. 2008. </w:t>
      </w:r>
      <w:r w:rsidRPr="00344365">
        <w:rPr>
          <w:i/>
          <w:color w:val="000000"/>
        </w:rPr>
        <w:t>Základy manažmentu</w:t>
      </w:r>
      <w:r w:rsidRPr="00344365">
        <w:rPr>
          <w:color w:val="000000"/>
        </w:rPr>
        <w:t>. Nitra : SPU, 2008. 162 s.                             ISBN 978-80-552-0132-0.</w:t>
      </w:r>
    </w:p>
    <w:p w:rsidR="00E16B17" w:rsidRPr="00344365" w:rsidRDefault="00E16B17" w:rsidP="00B560E4">
      <w:pPr>
        <w:numPr>
          <w:ilvl w:val="0"/>
          <w:numId w:val="74"/>
        </w:numPr>
        <w:spacing w:before="0"/>
        <w:ind w:left="357" w:hanging="357"/>
      </w:pPr>
      <w:r w:rsidRPr="00344365">
        <w:t xml:space="preserve">MARIŠOVÁ, E. - ILKOVÁ, Z. - BELICOVÁ, J. 2002. </w:t>
      </w:r>
      <w:r w:rsidRPr="00344365">
        <w:rPr>
          <w:i/>
        </w:rPr>
        <w:t>Správne právo hmotné a procesné</w:t>
      </w:r>
      <w:r w:rsidRPr="00344365">
        <w:t>. Nitra : SPU, 2002. 159 s. ISBN 80-8069-127-4.</w:t>
      </w:r>
    </w:p>
    <w:p w:rsidR="00E16B17" w:rsidRPr="00344365" w:rsidRDefault="00E16B17" w:rsidP="00B560E4">
      <w:pPr>
        <w:numPr>
          <w:ilvl w:val="0"/>
          <w:numId w:val="74"/>
        </w:numPr>
        <w:spacing w:before="0"/>
        <w:ind w:left="357" w:hanging="357"/>
      </w:pPr>
      <w:r w:rsidRPr="00344365">
        <w:t xml:space="preserve">MINTÁL, J. 2008. Živnostenský zákon s komentárom. In </w:t>
      </w:r>
      <w:r w:rsidRPr="00344365">
        <w:rPr>
          <w:i/>
        </w:rPr>
        <w:t>Poradca</w:t>
      </w:r>
      <w:r w:rsidRPr="00344365">
        <w:t xml:space="preserve">. </w:t>
      </w:r>
      <w:r w:rsidR="00043359">
        <w:t xml:space="preserve">                             </w:t>
      </w:r>
      <w:r w:rsidRPr="00344365">
        <w:t xml:space="preserve">ISSN 1335-1583, 2008, č. 3, s. 5-148. </w:t>
      </w:r>
    </w:p>
    <w:p w:rsidR="00E16B17" w:rsidRPr="00567585" w:rsidRDefault="00E16B17" w:rsidP="00B560E4">
      <w:pPr>
        <w:numPr>
          <w:ilvl w:val="0"/>
          <w:numId w:val="74"/>
        </w:numPr>
        <w:spacing w:before="0"/>
        <w:ind w:left="357" w:hanging="357"/>
      </w:pPr>
      <w:r w:rsidRPr="00344365">
        <w:rPr>
          <w:color w:val="000000"/>
        </w:rPr>
        <w:t xml:space="preserve">MIROSSAYOVÁ, A. 2000. </w:t>
      </w:r>
      <w:r w:rsidRPr="00344365">
        <w:rPr>
          <w:i/>
          <w:color w:val="000000"/>
        </w:rPr>
        <w:t>Vybrané kapitoly z práva v podmienkach SR</w:t>
      </w:r>
      <w:r w:rsidRPr="00344365">
        <w:rPr>
          <w:color w:val="000000"/>
        </w:rPr>
        <w:t xml:space="preserve">. </w:t>
      </w:r>
      <w:r w:rsidR="00043359">
        <w:rPr>
          <w:color w:val="000000"/>
        </w:rPr>
        <w:t xml:space="preserve">              </w:t>
      </w:r>
      <w:r w:rsidRPr="00344365">
        <w:rPr>
          <w:color w:val="000000"/>
        </w:rPr>
        <w:t xml:space="preserve">Košice : Technická univerzita, 2000. 48 s. ISBN 80-7099-545-9. </w:t>
      </w:r>
    </w:p>
    <w:p w:rsidR="00E16B17" w:rsidRPr="00344365" w:rsidRDefault="00E16B17" w:rsidP="00B560E4">
      <w:pPr>
        <w:numPr>
          <w:ilvl w:val="0"/>
          <w:numId w:val="74"/>
        </w:numPr>
        <w:spacing w:before="0"/>
        <w:ind w:left="357" w:hanging="357"/>
      </w:pPr>
      <w:r>
        <w:rPr>
          <w:color w:val="000000"/>
        </w:rPr>
        <w:t>MINISTERSTVO VNÚTRA, 2010. Správne poplatky na úseku živnostenského podnikania</w:t>
      </w:r>
      <w:r>
        <w:rPr>
          <w:bCs/>
        </w:rPr>
        <w:t xml:space="preserve">. In </w:t>
      </w:r>
      <w:r w:rsidRPr="00CC7F1A">
        <w:rPr>
          <w:bCs/>
          <w:i/>
        </w:rPr>
        <w:t>Živnostenské podnikanie</w:t>
      </w:r>
      <w:r>
        <w:rPr>
          <w:bCs/>
        </w:rPr>
        <w:t xml:space="preserve"> </w:t>
      </w:r>
      <w:r w:rsidRPr="00344365">
        <w:t xml:space="preserve">[online]. 2010 [cit. 2010-22-02]. </w:t>
      </w:r>
      <w:r w:rsidR="00043359">
        <w:t xml:space="preserve">           </w:t>
      </w:r>
      <w:r w:rsidRPr="00344365">
        <w:t>Dostupné na internete: &lt;</w:t>
      </w:r>
      <w:r w:rsidRPr="00567585">
        <w:t xml:space="preserve"> http://www.minv.sk/?zivnostenske-podnikanie</w:t>
      </w:r>
      <w:r w:rsidRPr="00344365">
        <w:t>&gt;.</w:t>
      </w:r>
    </w:p>
    <w:p w:rsidR="00E16B17" w:rsidRPr="00344365" w:rsidRDefault="00E16B17" w:rsidP="00B560E4">
      <w:pPr>
        <w:numPr>
          <w:ilvl w:val="0"/>
          <w:numId w:val="74"/>
        </w:numPr>
        <w:spacing w:before="0"/>
        <w:ind w:left="357" w:hanging="357"/>
      </w:pPr>
      <w:r>
        <w:rPr>
          <w:color w:val="000000"/>
        </w:rPr>
        <w:t xml:space="preserve">MINISTERSTVO VNÚTRA, 2010. Zákonné lehoty konania. </w:t>
      </w:r>
      <w:r w:rsidRPr="00A91C1A">
        <w:rPr>
          <w:bCs/>
        </w:rPr>
        <w:t>Zákonné lehoty pre živnostenský (obvodný) úrad v konaní o vzniku živnostenského oprávnenia a v konaní o uložení pokuty</w:t>
      </w:r>
      <w:r>
        <w:rPr>
          <w:bCs/>
        </w:rPr>
        <w:t xml:space="preserve">. In </w:t>
      </w:r>
      <w:r w:rsidRPr="00CC7F1A">
        <w:rPr>
          <w:bCs/>
          <w:i/>
        </w:rPr>
        <w:t>Živnostenské podnikanie</w:t>
      </w:r>
      <w:r>
        <w:rPr>
          <w:bCs/>
        </w:rPr>
        <w:t xml:space="preserve"> </w:t>
      </w:r>
      <w:r w:rsidRPr="00344365">
        <w:t xml:space="preserve">[online]. 2010 </w:t>
      </w:r>
      <w:r w:rsidR="00043359">
        <w:t xml:space="preserve">                     </w:t>
      </w:r>
      <w:r w:rsidRPr="00344365">
        <w:t>[cit. 2010-22-02]. Dostupné na internete: &lt;</w:t>
      </w:r>
      <w:r w:rsidRPr="00A91C1A">
        <w:t>http://www.minv.sk/?zakonne-lehoty-konania</w:t>
      </w:r>
      <w:r w:rsidRPr="00344365">
        <w:t>&gt;.</w:t>
      </w:r>
    </w:p>
    <w:p w:rsidR="00E16B17" w:rsidRPr="00D21635" w:rsidRDefault="00E16B17" w:rsidP="00B560E4">
      <w:pPr>
        <w:numPr>
          <w:ilvl w:val="0"/>
          <w:numId w:val="74"/>
        </w:numPr>
        <w:spacing w:before="0"/>
        <w:ind w:left="357" w:hanging="357"/>
      </w:pPr>
      <w:r w:rsidRPr="00344365">
        <w:rPr>
          <w:color w:val="000000"/>
        </w:rPr>
        <w:lastRenderedPageBreak/>
        <w:t xml:space="preserve">MINISTERSTVO VNÚTRA SR, 2008. </w:t>
      </w:r>
      <w:r w:rsidRPr="00344365">
        <w:rPr>
          <w:i/>
          <w:color w:val="000000"/>
        </w:rPr>
        <w:t>Pozitívne a negatívne vymedzenie obsahu remeselných živností</w:t>
      </w:r>
      <w:r w:rsidRPr="00344365">
        <w:rPr>
          <w:color w:val="000000"/>
        </w:rPr>
        <w:t xml:space="preserve">. Bratislava : Sekcia verejnej správy, Odbor živnostenského podnikania, 2008. 33 s. </w:t>
      </w:r>
    </w:p>
    <w:p w:rsidR="00E16B17" w:rsidRPr="00344365" w:rsidRDefault="00E16B17" w:rsidP="00B560E4">
      <w:pPr>
        <w:numPr>
          <w:ilvl w:val="0"/>
          <w:numId w:val="74"/>
        </w:numPr>
        <w:spacing w:before="0"/>
        <w:ind w:left="357" w:hanging="357"/>
      </w:pPr>
      <w:r>
        <w:rPr>
          <w:color w:val="000000"/>
        </w:rPr>
        <w:t xml:space="preserve">MOJCHEROVÁ, Ľ. 2010. </w:t>
      </w:r>
      <w:r>
        <w:rPr>
          <w:i/>
          <w:color w:val="000000"/>
        </w:rPr>
        <w:t xml:space="preserve">Údaje o činnosti odboru živnostenského podnikania Obvodného úradu Stará Ľubovňa </w:t>
      </w:r>
      <w:r>
        <w:rPr>
          <w:color w:val="000000"/>
        </w:rPr>
        <w:t>[elektronická pošta]. Správa pre: Monika CALETKOVÁ. 2010-23-02 [cit. 2010-23-03]. Osobná komunikácia.</w:t>
      </w:r>
    </w:p>
    <w:p w:rsidR="00E16B17" w:rsidRDefault="00E16B17" w:rsidP="00B560E4">
      <w:pPr>
        <w:numPr>
          <w:ilvl w:val="0"/>
          <w:numId w:val="74"/>
        </w:numPr>
        <w:spacing w:before="0"/>
        <w:ind w:left="357" w:hanging="357"/>
      </w:pPr>
      <w:r w:rsidRPr="00344365">
        <w:t xml:space="preserve">NIŽŇANSKÝ, V. 2005. </w:t>
      </w:r>
      <w:r w:rsidRPr="00344365">
        <w:rPr>
          <w:i/>
        </w:rPr>
        <w:t>Decentralizácia na Slovensku. Bilancia nekonečného príbehu 1995-2005</w:t>
      </w:r>
      <w:r w:rsidRPr="00344365">
        <w:t>. Bratislava : Úrad vlády SR, Kancelária splnomocnenca vlády SR pre decentralizáciu verejnej správy, 2005. 431 s. ISBN 80-969447-1-1.</w:t>
      </w:r>
    </w:p>
    <w:p w:rsidR="00E16B17" w:rsidRPr="00344365" w:rsidRDefault="00E16B17" w:rsidP="00B560E4">
      <w:pPr>
        <w:numPr>
          <w:ilvl w:val="0"/>
          <w:numId w:val="74"/>
        </w:numPr>
        <w:spacing w:before="0"/>
        <w:ind w:left="357" w:hanging="357"/>
      </w:pPr>
      <w:r>
        <w:rPr>
          <w:color w:val="000000"/>
        </w:rPr>
        <w:t xml:space="preserve">POLÁK, P. 2010. </w:t>
      </w:r>
      <w:r>
        <w:rPr>
          <w:i/>
          <w:color w:val="000000"/>
        </w:rPr>
        <w:t xml:space="preserve">Údaje o činnosti odboru živnostenského podnikania Obvodného úradu Námestovo </w:t>
      </w:r>
      <w:r>
        <w:rPr>
          <w:color w:val="000000"/>
        </w:rPr>
        <w:t xml:space="preserve">[elektronická pošta]. Správa pre: Monika CALETKOVÁ. </w:t>
      </w:r>
      <w:r w:rsidR="00043359">
        <w:rPr>
          <w:color w:val="000000"/>
        </w:rPr>
        <w:t xml:space="preserve">      </w:t>
      </w:r>
      <w:r>
        <w:rPr>
          <w:color w:val="000000"/>
        </w:rPr>
        <w:t>2010-23-02 [cit. 2010-23-03]. Osobná komunikácia.</w:t>
      </w:r>
    </w:p>
    <w:p w:rsidR="00E16B17" w:rsidRPr="00344365" w:rsidRDefault="00E16B17" w:rsidP="00B560E4">
      <w:pPr>
        <w:numPr>
          <w:ilvl w:val="0"/>
          <w:numId w:val="74"/>
        </w:numPr>
        <w:spacing w:before="0"/>
        <w:ind w:left="357" w:hanging="357"/>
      </w:pPr>
      <w:r w:rsidRPr="00344365">
        <w:t xml:space="preserve">POMAHAČ, R. - VIDLÁKOVÁ, O. 2002. </w:t>
      </w:r>
      <w:r w:rsidRPr="00344365">
        <w:rPr>
          <w:i/>
        </w:rPr>
        <w:t>Veřejná správa</w:t>
      </w:r>
      <w:r w:rsidRPr="00344365">
        <w:t>. Praha : C.H. Beck, 2002. 290 s. ISBN 80-7179-748-0.</w:t>
      </w:r>
    </w:p>
    <w:p w:rsidR="00E16B17" w:rsidRPr="00344365" w:rsidRDefault="00E16B17" w:rsidP="00B560E4">
      <w:pPr>
        <w:numPr>
          <w:ilvl w:val="0"/>
          <w:numId w:val="74"/>
        </w:numPr>
        <w:spacing w:before="0"/>
        <w:ind w:left="357" w:hanging="357"/>
        <w:rPr>
          <w:b/>
        </w:rPr>
      </w:pPr>
      <w:r w:rsidRPr="00344365">
        <w:rPr>
          <w:color w:val="000000"/>
        </w:rPr>
        <w:t xml:space="preserve">ŘEHÚŘEK, M. 2001. Demokratický potenciál verejnej správy. In </w:t>
      </w:r>
      <w:r w:rsidRPr="00344365">
        <w:rPr>
          <w:i/>
          <w:color w:val="000000"/>
        </w:rPr>
        <w:t>Právny obzor</w:t>
      </w:r>
      <w:r w:rsidRPr="00344365">
        <w:rPr>
          <w:color w:val="000000"/>
        </w:rPr>
        <w:t xml:space="preserve">. </w:t>
      </w:r>
      <w:r>
        <w:rPr>
          <w:color w:val="000000"/>
        </w:rPr>
        <w:t xml:space="preserve">            </w:t>
      </w:r>
      <w:r w:rsidRPr="00344365">
        <w:rPr>
          <w:color w:val="000000"/>
        </w:rPr>
        <w:t xml:space="preserve">ISSN 0032-6984, 2001, roč. 84, č. 5, s. 39. </w:t>
      </w:r>
    </w:p>
    <w:p w:rsidR="00E16B17" w:rsidRPr="00E027ED" w:rsidRDefault="00E16B17" w:rsidP="00B560E4">
      <w:pPr>
        <w:numPr>
          <w:ilvl w:val="0"/>
          <w:numId w:val="74"/>
        </w:numPr>
        <w:spacing w:before="0"/>
        <w:ind w:left="357" w:hanging="357"/>
      </w:pPr>
      <w:r w:rsidRPr="00344365">
        <w:rPr>
          <w:bCs/>
        </w:rPr>
        <w:t xml:space="preserve">SCHWARCZ, P. 2009. </w:t>
      </w:r>
      <w:r w:rsidRPr="00344365">
        <w:rPr>
          <w:bCs/>
          <w:i/>
        </w:rPr>
        <w:t>Politika EÚ v oblasti podpory podnikania</w:t>
      </w:r>
      <w:r w:rsidRPr="00344365">
        <w:rPr>
          <w:bCs/>
        </w:rPr>
        <w:t xml:space="preserve"> : prednáška. </w:t>
      </w:r>
      <w:r w:rsidR="00043359">
        <w:rPr>
          <w:bCs/>
        </w:rPr>
        <w:t xml:space="preserve">  </w:t>
      </w:r>
      <w:r w:rsidRPr="00344365">
        <w:rPr>
          <w:bCs/>
        </w:rPr>
        <w:t>Nitra : SPU, 2009. 28 s.</w:t>
      </w:r>
    </w:p>
    <w:p w:rsidR="00E16B17" w:rsidRPr="00A332F6" w:rsidRDefault="00E16B17" w:rsidP="00B560E4">
      <w:pPr>
        <w:numPr>
          <w:ilvl w:val="0"/>
          <w:numId w:val="74"/>
        </w:numPr>
        <w:spacing w:before="0"/>
        <w:ind w:left="357" w:hanging="357"/>
      </w:pPr>
      <w:r>
        <w:rPr>
          <w:color w:val="000000"/>
        </w:rPr>
        <w:t xml:space="preserve">SKOLNOVÁ, K. 2010. </w:t>
      </w:r>
      <w:r>
        <w:rPr>
          <w:i/>
          <w:color w:val="000000"/>
        </w:rPr>
        <w:t xml:space="preserve">Údaje o činnosti odboru živnostenského podnikania Obvodného úradu Prievidza </w:t>
      </w:r>
      <w:r>
        <w:rPr>
          <w:color w:val="000000"/>
        </w:rPr>
        <w:t>[elektronická pošta]. Správa pre: Monika CALETKOVÁ. 2010-03-03      [cit. 2010-23-03]. Osobná komunikácia.</w:t>
      </w:r>
    </w:p>
    <w:p w:rsidR="00E16B17" w:rsidRPr="00344365" w:rsidRDefault="00E16B17" w:rsidP="00B560E4">
      <w:pPr>
        <w:numPr>
          <w:ilvl w:val="0"/>
          <w:numId w:val="74"/>
        </w:numPr>
        <w:spacing w:before="0"/>
        <w:ind w:left="357" w:hanging="357"/>
      </w:pPr>
      <w:r>
        <w:t>SLOVENSKÁ ŽIVNOSTENSKÁ KOMORA</w:t>
      </w:r>
      <w:r w:rsidRPr="00344365">
        <w:t xml:space="preserve">, 2010. </w:t>
      </w:r>
      <w:r>
        <w:t>O nás</w:t>
      </w:r>
      <w:r w:rsidRPr="00344365">
        <w:t xml:space="preserve">. In </w:t>
      </w:r>
      <w:r>
        <w:rPr>
          <w:i/>
        </w:rPr>
        <w:t>Slovenská živnostenská komora</w:t>
      </w:r>
      <w:r w:rsidRPr="00344365">
        <w:rPr>
          <w:i/>
        </w:rPr>
        <w:t xml:space="preserve"> </w:t>
      </w:r>
      <w:r w:rsidRPr="00344365">
        <w:t xml:space="preserve">[online]. 2010 [cit. 2009-05-01]. Dostupné na internete: </w:t>
      </w:r>
      <w:r w:rsidR="00043359">
        <w:t xml:space="preserve">         </w:t>
      </w:r>
      <w:r w:rsidRPr="00344365">
        <w:t>&lt;</w:t>
      </w:r>
      <w:r w:rsidRPr="00A332F6">
        <w:t xml:space="preserve"> http://www.szk.sk/organy-szk/o-nas/</w:t>
      </w:r>
      <w:r w:rsidRPr="00344365">
        <w:t>&gt;.</w:t>
      </w:r>
    </w:p>
    <w:p w:rsidR="00E16B17" w:rsidRPr="00344365" w:rsidRDefault="00E16B17" w:rsidP="00B560E4">
      <w:pPr>
        <w:numPr>
          <w:ilvl w:val="0"/>
          <w:numId w:val="74"/>
        </w:numPr>
        <w:spacing w:before="0"/>
        <w:ind w:left="357" w:hanging="357"/>
      </w:pPr>
      <w:r w:rsidRPr="00344365">
        <w:rPr>
          <w:bCs/>
        </w:rPr>
        <w:t xml:space="preserve">SOBIHARD, J. 2007. </w:t>
      </w:r>
      <w:r w:rsidRPr="00344365">
        <w:rPr>
          <w:bCs/>
          <w:i/>
        </w:rPr>
        <w:t>Správny poriadok - komentár</w:t>
      </w:r>
      <w:r w:rsidRPr="00344365">
        <w:rPr>
          <w:bCs/>
        </w:rPr>
        <w:t>. 3.vyd. Bratislava : IURA, 2007. 347 s. ISBN 978-80-8078-182-8.</w:t>
      </w:r>
    </w:p>
    <w:p w:rsidR="00E16B17" w:rsidRPr="00344365" w:rsidRDefault="00E16B17" w:rsidP="00B560E4">
      <w:pPr>
        <w:numPr>
          <w:ilvl w:val="0"/>
          <w:numId w:val="74"/>
        </w:numPr>
        <w:spacing w:before="0"/>
        <w:ind w:left="357" w:hanging="357"/>
      </w:pPr>
      <w:r w:rsidRPr="00344365">
        <w:t xml:space="preserve">SOLÍK, J. - JAKUBEC, V. 2007. </w:t>
      </w:r>
      <w:r w:rsidRPr="00344365">
        <w:rPr>
          <w:i/>
        </w:rPr>
        <w:t>Cesta k samostatnosti. Založenie podnikania</w:t>
      </w:r>
      <w:r w:rsidRPr="00344365">
        <w:t>.            Trenčín : GIMMA, 2007. 68 s. ISBN 80-969706-9-8.</w:t>
      </w:r>
    </w:p>
    <w:p w:rsidR="00E16B17" w:rsidRPr="00344365" w:rsidRDefault="00E16B17" w:rsidP="00B560E4">
      <w:pPr>
        <w:numPr>
          <w:ilvl w:val="0"/>
          <w:numId w:val="74"/>
        </w:numPr>
        <w:spacing w:before="0"/>
        <w:ind w:left="357" w:hanging="357"/>
        <w:rPr>
          <w:b/>
        </w:rPr>
      </w:pPr>
      <w:r w:rsidRPr="00344365">
        <w:t xml:space="preserve">ŠKULTÉTY, P. a i. 2002. </w:t>
      </w:r>
      <w:r w:rsidRPr="00344365">
        <w:rPr>
          <w:i/>
        </w:rPr>
        <w:t>Správne právo hmotné - Všeobecná a osobitná časť</w:t>
      </w:r>
      <w:r w:rsidRPr="00344365">
        <w:t>.           Šamorín : Heuréka, 2002. 348 s. ISBN 80-968567-6-6.</w:t>
      </w:r>
    </w:p>
    <w:p w:rsidR="00E16B17" w:rsidRPr="005367FD" w:rsidRDefault="00E16B17" w:rsidP="00B560E4">
      <w:pPr>
        <w:numPr>
          <w:ilvl w:val="0"/>
          <w:numId w:val="74"/>
        </w:numPr>
        <w:spacing w:before="0"/>
        <w:ind w:left="357" w:hanging="357"/>
      </w:pPr>
      <w:r w:rsidRPr="00344365">
        <w:t xml:space="preserve">ŠTATISTICKÝ ÚRAD SR, 2010. Organizačná štatistika. In </w:t>
      </w:r>
      <w:r w:rsidRPr="00344365">
        <w:rPr>
          <w:i/>
        </w:rPr>
        <w:t xml:space="preserve">Databáza regionálnej štatistiky </w:t>
      </w:r>
      <w:r w:rsidRPr="00344365">
        <w:t xml:space="preserve">[online]. 2010 [cit. 2010-22-02]. Dostupné na internete: </w:t>
      </w:r>
      <w:r>
        <w:t xml:space="preserve">                                             </w:t>
      </w:r>
      <w:r w:rsidRPr="00344365">
        <w:t>&lt;http://px-web.statistics.sk/PXwebSlovak/index.htm&gt;.</w:t>
      </w:r>
    </w:p>
    <w:p w:rsidR="00E16B17" w:rsidRPr="00344365" w:rsidRDefault="00E16B17" w:rsidP="00B560E4">
      <w:pPr>
        <w:numPr>
          <w:ilvl w:val="0"/>
          <w:numId w:val="74"/>
        </w:numPr>
        <w:spacing w:before="0"/>
        <w:ind w:left="357" w:hanging="357"/>
      </w:pPr>
      <w:r>
        <w:rPr>
          <w:color w:val="000000"/>
        </w:rPr>
        <w:lastRenderedPageBreak/>
        <w:t xml:space="preserve">ŠTEFAN, J. 2010. </w:t>
      </w:r>
      <w:r>
        <w:rPr>
          <w:i/>
          <w:color w:val="000000"/>
        </w:rPr>
        <w:t xml:space="preserve">Údaje o činnosti odboru živnostenského podnikania Obvodného úradu Rožňava </w:t>
      </w:r>
      <w:r>
        <w:rPr>
          <w:color w:val="000000"/>
        </w:rPr>
        <w:t xml:space="preserve">[elektronická pošta]. Správa pre: Monika CALETKOVÁ. </w:t>
      </w:r>
      <w:r w:rsidR="00043359">
        <w:rPr>
          <w:color w:val="000000"/>
        </w:rPr>
        <w:t xml:space="preserve">            </w:t>
      </w:r>
      <w:r>
        <w:rPr>
          <w:color w:val="000000"/>
        </w:rPr>
        <w:t>2010-04-03 [cit. 2010-23-03]. Osobná komunikácia.</w:t>
      </w:r>
    </w:p>
    <w:p w:rsidR="00E16B17" w:rsidRPr="00043359" w:rsidRDefault="00E16B17" w:rsidP="00B560E4">
      <w:pPr>
        <w:numPr>
          <w:ilvl w:val="0"/>
          <w:numId w:val="74"/>
        </w:numPr>
        <w:spacing w:before="0"/>
        <w:ind w:left="357" w:hanging="357"/>
      </w:pPr>
      <w:r w:rsidRPr="00344365">
        <w:t xml:space="preserve">ÚSTREDNÝ PORTÁL VEREJNEJ SPRÁVY SR, 2010. Živnostenské oprávnenie.              In </w:t>
      </w:r>
      <w:r w:rsidRPr="00344365">
        <w:rPr>
          <w:i/>
        </w:rPr>
        <w:t xml:space="preserve">Portal.gov.sk </w:t>
      </w:r>
      <w:r w:rsidRPr="00344365">
        <w:t>[online]. 2010 [cit. 2009-05-01]. Dostupné na internete: &lt;</w:t>
      </w:r>
      <w:hyperlink r:id="rId17" w:history="1">
        <w:r w:rsidRPr="00043359">
          <w:rPr>
            <w:rStyle w:val="Hypertextovprepojenie"/>
            <w:color w:val="auto"/>
            <w:u w:val="none"/>
          </w:rPr>
          <w:t>http://www.portal.gov.sk/Portal/sk/Default.aspx?CatID=39&amp;etype=-1&amp;aid=309</w:t>
        </w:r>
      </w:hyperlink>
      <w:r w:rsidRPr="00043359">
        <w:t>&gt;.</w:t>
      </w:r>
    </w:p>
    <w:p w:rsidR="00E16B17" w:rsidRPr="00344365" w:rsidRDefault="00E16B17" w:rsidP="00B560E4">
      <w:pPr>
        <w:numPr>
          <w:ilvl w:val="0"/>
          <w:numId w:val="74"/>
        </w:numPr>
        <w:spacing w:before="0"/>
        <w:ind w:left="357" w:hanging="357"/>
      </w:pPr>
      <w:r w:rsidRPr="00043359">
        <w:t>V</w:t>
      </w:r>
      <w:r>
        <w:rPr>
          <w:color w:val="000000"/>
        </w:rPr>
        <w:t xml:space="preserve">AISOVÁ, A. 2010. </w:t>
      </w:r>
      <w:r>
        <w:rPr>
          <w:i/>
          <w:color w:val="000000"/>
        </w:rPr>
        <w:t xml:space="preserve">Údaje o činnosti odboru živnostenského podnikania Obvodného úradu Košice </w:t>
      </w:r>
      <w:r>
        <w:rPr>
          <w:color w:val="000000"/>
        </w:rPr>
        <w:t>[elektronická pošta]. Správa pre: Monika CALETKOVÁ. 2010-23-02 [cit. 2010-23-03]. Osobná komunikácia.</w:t>
      </w:r>
    </w:p>
    <w:p w:rsidR="00E16B17" w:rsidRPr="00344365" w:rsidRDefault="00E16B17" w:rsidP="00B560E4">
      <w:pPr>
        <w:numPr>
          <w:ilvl w:val="0"/>
          <w:numId w:val="74"/>
        </w:numPr>
        <w:spacing w:before="0"/>
        <w:ind w:left="357" w:hanging="357"/>
      </w:pPr>
      <w:r w:rsidRPr="00344365">
        <w:t xml:space="preserve">VONDRÁKOVÁ, E. - GALBAVÝ, Ľ. 2008. </w:t>
      </w:r>
      <w:r w:rsidRPr="00344365">
        <w:rPr>
          <w:i/>
        </w:rPr>
        <w:t>Vybrané kapitoly zo správneho práva</w:t>
      </w:r>
      <w:r w:rsidRPr="00344365">
        <w:t>.         Nitra : UKF, 2008. 166 s. ISBN 978-80-8094-391-2.</w:t>
      </w:r>
    </w:p>
    <w:p w:rsidR="00E16B17" w:rsidRPr="00344365" w:rsidRDefault="00E16B17" w:rsidP="00B560E4">
      <w:pPr>
        <w:numPr>
          <w:ilvl w:val="0"/>
          <w:numId w:val="74"/>
        </w:numPr>
        <w:spacing w:before="0"/>
        <w:ind w:left="357" w:hanging="357"/>
      </w:pPr>
      <w:r w:rsidRPr="00344365">
        <w:t xml:space="preserve">VRABKO, M. a i. 2007. </w:t>
      </w:r>
      <w:r w:rsidRPr="00344365">
        <w:rPr>
          <w:i/>
        </w:rPr>
        <w:t>Správne právo, procesná časť</w:t>
      </w:r>
      <w:r w:rsidRPr="00344365">
        <w:t xml:space="preserve">. 2.vyd. </w:t>
      </w:r>
      <w:r w:rsidR="00043359">
        <w:t xml:space="preserve">                          </w:t>
      </w:r>
      <w:r w:rsidRPr="00344365">
        <w:t>Bratislava : Právnická fakulta UK, 2007. 230 s. ISBN 978-80-7160-234-7.</w:t>
      </w:r>
    </w:p>
    <w:p w:rsidR="00E16B17" w:rsidRPr="00E027ED" w:rsidRDefault="00E16B17" w:rsidP="00B560E4">
      <w:pPr>
        <w:numPr>
          <w:ilvl w:val="0"/>
          <w:numId w:val="74"/>
        </w:numPr>
        <w:spacing w:before="0"/>
        <w:rPr>
          <w:i/>
        </w:rPr>
      </w:pPr>
      <w:r w:rsidRPr="00344365">
        <w:rPr>
          <w:i/>
        </w:rPr>
        <w:t>Zákon č.515/2003 Z. z. o krajských a obvodných úradoch</w:t>
      </w:r>
      <w:r w:rsidRPr="00344365">
        <w:t>.</w:t>
      </w:r>
    </w:p>
    <w:p w:rsidR="00E16B17" w:rsidRPr="00344365" w:rsidRDefault="00E16B17" w:rsidP="00B560E4">
      <w:pPr>
        <w:numPr>
          <w:ilvl w:val="0"/>
          <w:numId w:val="74"/>
        </w:numPr>
        <w:spacing w:before="0"/>
        <w:rPr>
          <w:i/>
        </w:rPr>
      </w:pPr>
      <w:r>
        <w:rPr>
          <w:i/>
        </w:rPr>
        <w:t>Zákon č.211/2000 Z. z. o slobodnom prístupe k informáciám.</w:t>
      </w:r>
    </w:p>
    <w:p w:rsidR="00E16B17" w:rsidRPr="00344365" w:rsidRDefault="00E16B17" w:rsidP="00B560E4">
      <w:pPr>
        <w:numPr>
          <w:ilvl w:val="0"/>
          <w:numId w:val="74"/>
        </w:numPr>
        <w:spacing w:before="0"/>
        <w:rPr>
          <w:i/>
        </w:rPr>
      </w:pPr>
      <w:r w:rsidRPr="00344365">
        <w:rPr>
          <w:i/>
        </w:rPr>
        <w:t>Zákon č. 513/1991 Zb. (Obchodný zákonník)</w:t>
      </w:r>
      <w:r w:rsidRPr="00344365">
        <w:t>.</w:t>
      </w:r>
    </w:p>
    <w:p w:rsidR="00E16B17" w:rsidRPr="00344365" w:rsidRDefault="00E16B17" w:rsidP="00B560E4">
      <w:pPr>
        <w:numPr>
          <w:ilvl w:val="0"/>
          <w:numId w:val="74"/>
        </w:numPr>
        <w:spacing w:before="0"/>
        <w:rPr>
          <w:i/>
        </w:rPr>
      </w:pPr>
      <w:r w:rsidRPr="00344365">
        <w:rPr>
          <w:i/>
        </w:rPr>
        <w:t>Zákon č.455/1991 Zb. o živnostenskom podnikaní (živnostenský zákon).</w:t>
      </w:r>
    </w:p>
    <w:p w:rsidR="00526C11" w:rsidRPr="003747F5" w:rsidRDefault="00E16B17" w:rsidP="00B560E4">
      <w:pPr>
        <w:numPr>
          <w:ilvl w:val="0"/>
          <w:numId w:val="74"/>
        </w:numPr>
        <w:spacing w:before="0"/>
        <w:rPr>
          <w:i/>
        </w:rPr>
      </w:pPr>
      <w:r w:rsidRPr="00344365">
        <w:rPr>
          <w:i/>
          <w:color w:val="000000"/>
        </w:rPr>
        <w:t>Zákon č.71/1967 Zb. o správnom konaní (správny poriadok).</w:t>
      </w:r>
    </w:p>
    <w:p w:rsidR="00A727DA" w:rsidRDefault="00A727DA" w:rsidP="00956A22">
      <w:pPr>
        <w:pStyle w:val="ZPNormalnyText"/>
      </w:pPr>
    </w:p>
    <w:p w:rsidR="00A727DA" w:rsidRPr="00043359" w:rsidRDefault="00A727DA" w:rsidP="00956A22">
      <w:pPr>
        <w:pStyle w:val="NadpisKapitoly"/>
        <w:rPr>
          <w:rFonts w:ascii="Times New Roman" w:hAnsi="Times New Roman"/>
        </w:rPr>
      </w:pPr>
      <w:bookmarkStart w:id="21" w:name="_Toc224306957"/>
      <w:bookmarkStart w:id="22" w:name="_Toc102191194"/>
      <w:bookmarkStart w:id="23" w:name="_Toc241977241"/>
      <w:r w:rsidRPr="00043359">
        <w:rPr>
          <w:rFonts w:ascii="Times New Roman" w:hAnsi="Times New Roman"/>
        </w:rPr>
        <w:lastRenderedPageBreak/>
        <w:t>Prílohy</w:t>
      </w:r>
      <w:bookmarkEnd w:id="21"/>
      <w:bookmarkEnd w:id="22"/>
      <w:bookmarkEnd w:id="23"/>
    </w:p>
    <w:p w:rsidR="00526C11" w:rsidRPr="007A200B" w:rsidRDefault="00526C11" w:rsidP="00956A22">
      <w:pPr>
        <w:pStyle w:val="ZPNormalnyText"/>
      </w:pPr>
      <w:r w:rsidRPr="007A200B">
        <w:rPr>
          <w:noProof/>
          <w:lang w:eastAsia="sk-SK"/>
        </w:rPr>
        <w:drawing>
          <wp:anchor distT="0" distB="0" distL="114300" distR="114300" simplePos="0" relativeHeight="251661312" behindDoc="0" locked="0" layoutInCell="1" allowOverlap="1">
            <wp:simplePos x="0" y="0"/>
            <wp:positionH relativeFrom="column">
              <wp:posOffset>1282700</wp:posOffset>
            </wp:positionH>
            <wp:positionV relativeFrom="paragraph">
              <wp:posOffset>273050</wp:posOffset>
            </wp:positionV>
            <wp:extent cx="2486025" cy="2571750"/>
            <wp:effectExtent l="19050" t="0" r="9525" b="0"/>
            <wp:wrapTopAndBottom/>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2486025" cy="2571750"/>
                    </a:xfrm>
                    <a:prstGeom prst="rect">
                      <a:avLst/>
                    </a:prstGeom>
                    <a:noFill/>
                    <a:ln w="9525">
                      <a:noFill/>
                      <a:miter lim="800000"/>
                      <a:headEnd/>
                      <a:tailEnd/>
                    </a:ln>
                  </pic:spPr>
                </pic:pic>
              </a:graphicData>
            </a:graphic>
          </wp:anchor>
        </w:drawing>
      </w:r>
      <w:r w:rsidRPr="007A200B">
        <w:t>Príloha 1 Organizačná štruktúra v oblasti živnostenského podnikania</w:t>
      </w:r>
    </w:p>
    <w:p w:rsidR="00526C11" w:rsidRPr="00344365" w:rsidRDefault="00526C11" w:rsidP="00526C11">
      <w:r w:rsidRPr="00344365">
        <w:t>GP SR - Verejná správa Slovenskej republiky</w:t>
      </w:r>
    </w:p>
    <w:p w:rsidR="00526C11" w:rsidRPr="00344365" w:rsidRDefault="00526C11" w:rsidP="00526C11">
      <w:r w:rsidRPr="00344365">
        <w:t>ŽÚ - Živnostenský úrad</w:t>
      </w:r>
    </w:p>
    <w:p w:rsidR="00526C11" w:rsidRPr="00344365" w:rsidRDefault="00526C11" w:rsidP="00526C11">
      <w:r w:rsidRPr="00344365">
        <w:t>DÚ - Daňový úrad</w:t>
      </w:r>
    </w:p>
    <w:p w:rsidR="00526C11" w:rsidRPr="00344365" w:rsidRDefault="00526C11" w:rsidP="00526C11">
      <w:r w:rsidRPr="00344365">
        <w:t>ZP - Zdravotná poisťovňa</w:t>
      </w:r>
    </w:p>
    <w:p w:rsidR="00526C11" w:rsidRPr="00344365" w:rsidRDefault="00526C11" w:rsidP="00526C11">
      <w:r w:rsidRPr="00344365">
        <w:t>OR SR - Obchodný register Slovenskej republiky</w:t>
      </w:r>
    </w:p>
    <w:p w:rsidR="00526C11" w:rsidRPr="00344365" w:rsidRDefault="00526C11" w:rsidP="00526C11"/>
    <w:p w:rsidR="00526C11" w:rsidRPr="00344365" w:rsidRDefault="00526C11" w:rsidP="00526C11">
      <w:pPr>
        <w:rPr>
          <w:b/>
        </w:rPr>
      </w:pPr>
      <w:r w:rsidRPr="00344365">
        <w:rPr>
          <w:b/>
        </w:rPr>
        <w:t xml:space="preserve">Príloha 2 Logo Slovenského živnostenského registra </w:t>
      </w:r>
      <w:r w:rsidRPr="00344365">
        <w:t>(vľavo)</w:t>
      </w:r>
      <w:r w:rsidRPr="00344365">
        <w:rPr>
          <w:b/>
        </w:rPr>
        <w:t xml:space="preserve"> a logo Slovenskej živnostenskej komory </w:t>
      </w:r>
      <w:r w:rsidRPr="00344365">
        <w:t>(vpravo)</w:t>
      </w:r>
    </w:p>
    <w:p w:rsidR="00526C11" w:rsidRPr="00344365" w:rsidRDefault="00526C11" w:rsidP="00526C11">
      <w:r>
        <w:rPr>
          <w:noProof/>
          <w:lang w:eastAsia="sk-SK"/>
        </w:rPr>
        <w:drawing>
          <wp:anchor distT="0" distB="0" distL="114300" distR="114300" simplePos="0" relativeHeight="251660288" behindDoc="0" locked="0" layoutInCell="1" allowOverlap="1">
            <wp:simplePos x="0" y="0"/>
            <wp:positionH relativeFrom="column">
              <wp:posOffset>3020060</wp:posOffset>
            </wp:positionH>
            <wp:positionV relativeFrom="paragraph">
              <wp:posOffset>57785</wp:posOffset>
            </wp:positionV>
            <wp:extent cx="2095500" cy="971550"/>
            <wp:effectExtent l="19050" t="0" r="0" b="0"/>
            <wp:wrapTopAndBottom/>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2095500" cy="971550"/>
                    </a:xfrm>
                    <a:prstGeom prst="rect">
                      <a:avLst/>
                    </a:prstGeom>
                    <a:noFill/>
                    <a:ln w="9525">
                      <a:noFill/>
                      <a:miter lim="800000"/>
                      <a:headEnd/>
                      <a:tailEnd/>
                    </a:ln>
                  </pic:spPr>
                </pic:pic>
              </a:graphicData>
            </a:graphic>
          </wp:anchor>
        </w:drawing>
      </w:r>
      <w:r>
        <w:rPr>
          <w:noProof/>
          <w:lang w:eastAsia="sk-SK"/>
        </w:rPr>
        <w:drawing>
          <wp:anchor distT="0" distB="0" distL="114300" distR="114300" simplePos="0" relativeHeight="251662336" behindDoc="0" locked="0" layoutInCell="1" allowOverlap="1">
            <wp:simplePos x="0" y="0"/>
            <wp:positionH relativeFrom="column">
              <wp:posOffset>276860</wp:posOffset>
            </wp:positionH>
            <wp:positionV relativeFrom="paragraph">
              <wp:posOffset>172085</wp:posOffset>
            </wp:positionV>
            <wp:extent cx="2103120" cy="855980"/>
            <wp:effectExtent l="19050" t="0" r="0" b="0"/>
            <wp:wrapTopAndBottom/>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2103120" cy="855980"/>
                    </a:xfrm>
                    <a:prstGeom prst="rect">
                      <a:avLst/>
                    </a:prstGeom>
                    <a:noFill/>
                    <a:ln w="9525">
                      <a:noFill/>
                      <a:miter lim="800000"/>
                      <a:headEnd/>
                      <a:tailEnd/>
                    </a:ln>
                  </pic:spPr>
                </pic:pic>
              </a:graphicData>
            </a:graphic>
          </wp:anchor>
        </w:drawing>
      </w:r>
    </w:p>
    <w:p w:rsidR="00526C11" w:rsidRPr="00344365" w:rsidRDefault="00526C11" w:rsidP="00526C11"/>
    <w:p w:rsidR="00526C11" w:rsidRPr="00344365" w:rsidRDefault="00526C11" w:rsidP="00526C11">
      <w:pPr>
        <w:pStyle w:val="Pta"/>
        <w:tabs>
          <w:tab w:val="clear" w:pos="4536"/>
          <w:tab w:val="clear" w:pos="9072"/>
        </w:tabs>
      </w:pPr>
    </w:p>
    <w:p w:rsidR="00526C11" w:rsidRPr="00344365" w:rsidRDefault="00526C11" w:rsidP="00526C11">
      <w:pPr>
        <w:pStyle w:val="Pta"/>
        <w:tabs>
          <w:tab w:val="clear" w:pos="4536"/>
          <w:tab w:val="clear" w:pos="9072"/>
        </w:tabs>
      </w:pPr>
    </w:p>
    <w:p w:rsidR="00526C11" w:rsidRPr="00344365" w:rsidRDefault="00526C11" w:rsidP="00526C11">
      <w:pPr>
        <w:pStyle w:val="Pta"/>
        <w:tabs>
          <w:tab w:val="clear" w:pos="4536"/>
          <w:tab w:val="clear" w:pos="9072"/>
        </w:tabs>
      </w:pPr>
    </w:p>
    <w:p w:rsidR="00526C11" w:rsidRDefault="00526C11" w:rsidP="00526C11">
      <w:pPr>
        <w:pStyle w:val="Pta"/>
        <w:tabs>
          <w:tab w:val="clear" w:pos="4536"/>
          <w:tab w:val="clear" w:pos="9072"/>
        </w:tabs>
      </w:pPr>
    </w:p>
    <w:p w:rsidR="00757024" w:rsidRDefault="00757024" w:rsidP="00526C11">
      <w:pPr>
        <w:pStyle w:val="Pta"/>
        <w:tabs>
          <w:tab w:val="clear" w:pos="4536"/>
          <w:tab w:val="clear" w:pos="9072"/>
        </w:tabs>
      </w:pPr>
    </w:p>
    <w:p w:rsidR="00526C11" w:rsidRPr="00344365" w:rsidRDefault="00526C11" w:rsidP="00526C11">
      <w:pPr>
        <w:contextualSpacing/>
        <w:rPr>
          <w:b/>
          <w:bCs/>
        </w:rPr>
      </w:pPr>
      <w:r w:rsidRPr="00344365">
        <w:rPr>
          <w:b/>
        </w:rPr>
        <w:lastRenderedPageBreak/>
        <w:t xml:space="preserve">Príloha 3 Živnostenské úrady v Slovenskej republike                                                                                     </w:t>
      </w:r>
    </w:p>
    <w:tbl>
      <w:tblPr>
        <w:tblW w:w="8804" w:type="dxa"/>
        <w:tblInd w:w="55" w:type="dxa"/>
        <w:tblLayout w:type="fixed"/>
        <w:tblCellMar>
          <w:left w:w="70" w:type="dxa"/>
          <w:right w:w="70" w:type="dxa"/>
        </w:tblCellMar>
        <w:tblLook w:val="04A0"/>
      </w:tblPr>
      <w:tblGrid>
        <w:gridCol w:w="2934"/>
        <w:gridCol w:w="2935"/>
        <w:gridCol w:w="2935"/>
      </w:tblGrid>
      <w:tr w:rsidR="00526C11" w:rsidRPr="00344365" w:rsidTr="00136606">
        <w:trPr>
          <w:trHeight w:val="300"/>
        </w:trPr>
        <w:tc>
          <w:tcPr>
            <w:tcW w:w="2934" w:type="dxa"/>
            <w:tcBorders>
              <w:top w:val="single" w:sz="18" w:space="0" w:color="auto"/>
              <w:left w:val="single" w:sz="18" w:space="0" w:color="auto"/>
              <w:bottom w:val="single" w:sz="18" w:space="0" w:color="auto"/>
              <w:right w:val="single" w:sz="4" w:space="0" w:color="auto"/>
            </w:tcBorders>
            <w:shd w:val="clear" w:color="auto" w:fill="auto"/>
            <w:noWrap/>
            <w:vAlign w:val="center"/>
            <w:hideMark/>
          </w:tcPr>
          <w:p w:rsidR="00526C11" w:rsidRPr="00526C11" w:rsidRDefault="00526C11" w:rsidP="00526C11">
            <w:pPr>
              <w:spacing w:line="240" w:lineRule="auto"/>
              <w:contextualSpacing/>
              <w:jc w:val="center"/>
              <w:rPr>
                <w:b/>
                <w:color w:val="000000"/>
                <w:sz w:val="20"/>
                <w:szCs w:val="20"/>
              </w:rPr>
            </w:pPr>
            <w:r w:rsidRPr="00526C11">
              <w:rPr>
                <w:b/>
                <w:color w:val="000000"/>
                <w:sz w:val="20"/>
                <w:szCs w:val="20"/>
              </w:rPr>
              <w:t>Oblasť SR</w:t>
            </w:r>
          </w:p>
        </w:tc>
        <w:tc>
          <w:tcPr>
            <w:tcW w:w="2935" w:type="dxa"/>
            <w:tcBorders>
              <w:top w:val="single" w:sz="18" w:space="0" w:color="auto"/>
              <w:left w:val="nil"/>
              <w:bottom w:val="single" w:sz="18" w:space="0" w:color="auto"/>
              <w:right w:val="single" w:sz="4" w:space="0" w:color="auto"/>
            </w:tcBorders>
            <w:shd w:val="clear" w:color="auto" w:fill="auto"/>
            <w:noWrap/>
            <w:vAlign w:val="center"/>
            <w:hideMark/>
          </w:tcPr>
          <w:p w:rsidR="00526C11" w:rsidRPr="00526C11" w:rsidRDefault="00526C11" w:rsidP="00526C11">
            <w:pPr>
              <w:spacing w:line="240" w:lineRule="auto"/>
              <w:contextualSpacing/>
              <w:jc w:val="center"/>
              <w:rPr>
                <w:b/>
                <w:color w:val="000000"/>
                <w:sz w:val="20"/>
                <w:szCs w:val="20"/>
              </w:rPr>
            </w:pPr>
            <w:r w:rsidRPr="00526C11">
              <w:rPr>
                <w:b/>
                <w:color w:val="000000"/>
                <w:sz w:val="20"/>
                <w:szCs w:val="20"/>
              </w:rPr>
              <w:t>Kraj</w:t>
            </w:r>
          </w:p>
        </w:tc>
        <w:tc>
          <w:tcPr>
            <w:tcW w:w="2935" w:type="dxa"/>
            <w:tcBorders>
              <w:top w:val="single" w:sz="18" w:space="0" w:color="auto"/>
              <w:left w:val="nil"/>
              <w:bottom w:val="single" w:sz="18" w:space="0" w:color="auto"/>
              <w:right w:val="single" w:sz="18" w:space="0" w:color="auto"/>
            </w:tcBorders>
            <w:shd w:val="clear" w:color="auto" w:fill="auto"/>
            <w:noWrap/>
            <w:vAlign w:val="center"/>
            <w:hideMark/>
          </w:tcPr>
          <w:p w:rsidR="00526C11" w:rsidRPr="00526C11" w:rsidRDefault="00526C11" w:rsidP="00526C11">
            <w:pPr>
              <w:spacing w:line="240" w:lineRule="auto"/>
              <w:contextualSpacing/>
              <w:jc w:val="center"/>
              <w:rPr>
                <w:b/>
                <w:color w:val="000000"/>
                <w:sz w:val="20"/>
                <w:szCs w:val="20"/>
              </w:rPr>
            </w:pPr>
            <w:r w:rsidRPr="00526C11">
              <w:rPr>
                <w:b/>
                <w:color w:val="000000"/>
                <w:sz w:val="20"/>
                <w:szCs w:val="20"/>
              </w:rPr>
              <w:t>Odbor živnostenského podnikania</w:t>
            </w:r>
          </w:p>
        </w:tc>
      </w:tr>
      <w:tr w:rsidR="00526C11" w:rsidRPr="00344365" w:rsidTr="00136606">
        <w:trPr>
          <w:trHeight w:val="300"/>
        </w:trPr>
        <w:tc>
          <w:tcPr>
            <w:tcW w:w="2934" w:type="dxa"/>
            <w:tcBorders>
              <w:top w:val="single" w:sz="18" w:space="0" w:color="auto"/>
              <w:left w:val="single" w:sz="18" w:space="0" w:color="auto"/>
              <w:bottom w:val="single" w:sz="18" w:space="0" w:color="auto"/>
              <w:right w:val="single" w:sz="4" w:space="0" w:color="auto"/>
            </w:tcBorders>
            <w:shd w:val="clear" w:color="auto" w:fill="auto"/>
            <w:noWrap/>
            <w:vAlign w:val="center"/>
            <w:hideMark/>
          </w:tcPr>
          <w:p w:rsidR="00526C11" w:rsidRPr="00526C11" w:rsidRDefault="00526C11" w:rsidP="00526C11">
            <w:pPr>
              <w:spacing w:line="240" w:lineRule="auto"/>
              <w:contextualSpacing/>
              <w:rPr>
                <w:color w:val="000000"/>
                <w:sz w:val="20"/>
                <w:szCs w:val="20"/>
              </w:rPr>
            </w:pPr>
            <w:r w:rsidRPr="00526C11">
              <w:rPr>
                <w:color w:val="000000"/>
                <w:sz w:val="20"/>
                <w:szCs w:val="20"/>
              </w:rPr>
              <w:t>Bratislavský kraj</w:t>
            </w:r>
          </w:p>
        </w:tc>
        <w:tc>
          <w:tcPr>
            <w:tcW w:w="2935" w:type="dxa"/>
            <w:tcBorders>
              <w:top w:val="single" w:sz="18" w:space="0" w:color="auto"/>
              <w:left w:val="nil"/>
              <w:bottom w:val="single" w:sz="18" w:space="0" w:color="auto"/>
              <w:right w:val="single" w:sz="4" w:space="0" w:color="auto"/>
            </w:tcBorders>
            <w:shd w:val="clear" w:color="auto" w:fill="auto"/>
            <w:noWrap/>
            <w:vAlign w:val="center"/>
            <w:hideMark/>
          </w:tcPr>
          <w:p w:rsidR="00526C11" w:rsidRPr="00526C11" w:rsidRDefault="00526C11" w:rsidP="00526C11">
            <w:pPr>
              <w:spacing w:line="240" w:lineRule="auto"/>
              <w:contextualSpacing/>
              <w:rPr>
                <w:color w:val="000000"/>
                <w:sz w:val="20"/>
                <w:szCs w:val="20"/>
              </w:rPr>
            </w:pPr>
            <w:r w:rsidRPr="00526C11">
              <w:rPr>
                <w:color w:val="000000"/>
                <w:sz w:val="20"/>
                <w:szCs w:val="20"/>
              </w:rPr>
              <w:t>Bratislavský</w:t>
            </w:r>
          </w:p>
        </w:tc>
        <w:tc>
          <w:tcPr>
            <w:tcW w:w="2935" w:type="dxa"/>
            <w:tcBorders>
              <w:top w:val="single" w:sz="18" w:space="0" w:color="auto"/>
              <w:left w:val="nil"/>
              <w:bottom w:val="single" w:sz="18" w:space="0" w:color="auto"/>
              <w:right w:val="single" w:sz="18" w:space="0" w:color="auto"/>
            </w:tcBorders>
            <w:shd w:val="clear" w:color="auto" w:fill="auto"/>
            <w:noWrap/>
            <w:vAlign w:val="center"/>
            <w:hideMark/>
          </w:tcPr>
          <w:p w:rsidR="00526C11" w:rsidRPr="00526C11" w:rsidRDefault="00526C11" w:rsidP="00526C11">
            <w:pPr>
              <w:spacing w:line="240" w:lineRule="auto"/>
              <w:contextualSpacing/>
              <w:rPr>
                <w:color w:val="000000"/>
                <w:sz w:val="20"/>
                <w:szCs w:val="20"/>
              </w:rPr>
            </w:pPr>
            <w:r w:rsidRPr="00526C11">
              <w:rPr>
                <w:color w:val="000000"/>
                <w:sz w:val="20"/>
                <w:szCs w:val="20"/>
              </w:rPr>
              <w:t>Bratislava</w:t>
            </w:r>
          </w:p>
          <w:p w:rsidR="00526C11" w:rsidRPr="00526C11" w:rsidRDefault="00526C11" w:rsidP="00526C11">
            <w:pPr>
              <w:spacing w:line="240" w:lineRule="auto"/>
              <w:contextualSpacing/>
              <w:rPr>
                <w:color w:val="000000"/>
                <w:sz w:val="20"/>
                <w:szCs w:val="20"/>
              </w:rPr>
            </w:pPr>
            <w:r w:rsidRPr="00526C11">
              <w:rPr>
                <w:color w:val="000000"/>
                <w:sz w:val="20"/>
                <w:szCs w:val="20"/>
              </w:rPr>
              <w:t>Malacky</w:t>
            </w:r>
          </w:p>
          <w:p w:rsidR="00526C11" w:rsidRPr="00526C11" w:rsidRDefault="00526C11" w:rsidP="00526C11">
            <w:pPr>
              <w:spacing w:line="240" w:lineRule="auto"/>
              <w:contextualSpacing/>
              <w:rPr>
                <w:color w:val="000000"/>
                <w:sz w:val="20"/>
                <w:szCs w:val="20"/>
              </w:rPr>
            </w:pPr>
            <w:r w:rsidRPr="00526C11">
              <w:rPr>
                <w:color w:val="000000"/>
                <w:sz w:val="20"/>
                <w:szCs w:val="20"/>
              </w:rPr>
              <w:t>Pezinok</w:t>
            </w:r>
          </w:p>
          <w:p w:rsidR="00526C11" w:rsidRPr="00526C11" w:rsidRDefault="00526C11" w:rsidP="00526C11">
            <w:pPr>
              <w:spacing w:line="240" w:lineRule="auto"/>
              <w:contextualSpacing/>
              <w:rPr>
                <w:color w:val="000000"/>
                <w:sz w:val="20"/>
                <w:szCs w:val="20"/>
              </w:rPr>
            </w:pPr>
            <w:r w:rsidRPr="00526C11">
              <w:rPr>
                <w:color w:val="000000"/>
                <w:sz w:val="20"/>
                <w:szCs w:val="20"/>
              </w:rPr>
              <w:t>Senec</w:t>
            </w:r>
          </w:p>
        </w:tc>
      </w:tr>
      <w:tr w:rsidR="00526C11" w:rsidRPr="00344365" w:rsidTr="00136606">
        <w:trPr>
          <w:trHeight w:val="300"/>
        </w:trPr>
        <w:tc>
          <w:tcPr>
            <w:tcW w:w="2934" w:type="dxa"/>
            <w:vMerge w:val="restart"/>
            <w:tcBorders>
              <w:top w:val="single" w:sz="18" w:space="0" w:color="auto"/>
              <w:left w:val="single" w:sz="18" w:space="0" w:color="auto"/>
              <w:right w:val="single" w:sz="4" w:space="0" w:color="auto"/>
            </w:tcBorders>
            <w:shd w:val="clear" w:color="auto" w:fill="auto"/>
            <w:noWrap/>
            <w:vAlign w:val="center"/>
            <w:hideMark/>
          </w:tcPr>
          <w:p w:rsidR="00526C11" w:rsidRPr="00526C11" w:rsidRDefault="00526C11" w:rsidP="00526C11">
            <w:pPr>
              <w:spacing w:line="240" w:lineRule="auto"/>
              <w:contextualSpacing/>
              <w:rPr>
                <w:color w:val="000000"/>
                <w:sz w:val="20"/>
                <w:szCs w:val="20"/>
              </w:rPr>
            </w:pPr>
            <w:r w:rsidRPr="00526C11">
              <w:rPr>
                <w:color w:val="000000"/>
                <w:sz w:val="20"/>
                <w:szCs w:val="20"/>
              </w:rPr>
              <w:t>Západné Slovensko</w:t>
            </w:r>
          </w:p>
        </w:tc>
        <w:tc>
          <w:tcPr>
            <w:tcW w:w="2935" w:type="dxa"/>
            <w:tcBorders>
              <w:top w:val="single" w:sz="18" w:space="0" w:color="auto"/>
              <w:left w:val="nil"/>
              <w:bottom w:val="single" w:sz="4" w:space="0" w:color="auto"/>
              <w:right w:val="single" w:sz="4" w:space="0" w:color="auto"/>
            </w:tcBorders>
            <w:shd w:val="clear" w:color="auto" w:fill="auto"/>
            <w:noWrap/>
            <w:vAlign w:val="center"/>
            <w:hideMark/>
          </w:tcPr>
          <w:p w:rsidR="00526C11" w:rsidRPr="00526C11" w:rsidRDefault="00526C11" w:rsidP="00526C11">
            <w:pPr>
              <w:spacing w:line="240" w:lineRule="auto"/>
              <w:contextualSpacing/>
              <w:rPr>
                <w:color w:val="000000"/>
                <w:sz w:val="20"/>
                <w:szCs w:val="20"/>
              </w:rPr>
            </w:pPr>
            <w:r w:rsidRPr="00526C11">
              <w:rPr>
                <w:color w:val="000000"/>
                <w:sz w:val="20"/>
                <w:szCs w:val="20"/>
              </w:rPr>
              <w:t>Trnavský</w:t>
            </w:r>
          </w:p>
        </w:tc>
        <w:tc>
          <w:tcPr>
            <w:tcW w:w="2935" w:type="dxa"/>
            <w:tcBorders>
              <w:top w:val="single" w:sz="18" w:space="0" w:color="auto"/>
              <w:left w:val="nil"/>
              <w:bottom w:val="single" w:sz="4" w:space="0" w:color="auto"/>
              <w:right w:val="single" w:sz="18" w:space="0" w:color="auto"/>
            </w:tcBorders>
            <w:shd w:val="clear" w:color="auto" w:fill="auto"/>
            <w:noWrap/>
            <w:vAlign w:val="center"/>
            <w:hideMark/>
          </w:tcPr>
          <w:p w:rsidR="00526C11" w:rsidRPr="00526C11" w:rsidRDefault="00526C11" w:rsidP="00526C11">
            <w:pPr>
              <w:spacing w:line="240" w:lineRule="auto"/>
              <w:contextualSpacing/>
              <w:rPr>
                <w:color w:val="000000"/>
                <w:sz w:val="20"/>
                <w:szCs w:val="20"/>
              </w:rPr>
            </w:pPr>
            <w:r w:rsidRPr="00526C11">
              <w:rPr>
                <w:color w:val="000000"/>
                <w:sz w:val="20"/>
                <w:szCs w:val="20"/>
              </w:rPr>
              <w:t>Dunajská Streda</w:t>
            </w:r>
          </w:p>
          <w:p w:rsidR="00526C11" w:rsidRPr="00526C11" w:rsidRDefault="00526C11" w:rsidP="00526C11">
            <w:pPr>
              <w:spacing w:line="240" w:lineRule="auto"/>
              <w:contextualSpacing/>
              <w:rPr>
                <w:color w:val="000000"/>
                <w:sz w:val="20"/>
                <w:szCs w:val="20"/>
              </w:rPr>
            </w:pPr>
            <w:r w:rsidRPr="00526C11">
              <w:rPr>
                <w:color w:val="000000"/>
                <w:sz w:val="20"/>
                <w:szCs w:val="20"/>
              </w:rPr>
              <w:t>Galanta</w:t>
            </w:r>
          </w:p>
          <w:p w:rsidR="00526C11" w:rsidRPr="00526C11" w:rsidRDefault="00526C11" w:rsidP="00526C11">
            <w:pPr>
              <w:spacing w:line="240" w:lineRule="auto"/>
              <w:contextualSpacing/>
              <w:rPr>
                <w:color w:val="000000"/>
                <w:sz w:val="20"/>
                <w:szCs w:val="20"/>
              </w:rPr>
            </w:pPr>
            <w:r w:rsidRPr="00526C11">
              <w:rPr>
                <w:color w:val="000000"/>
                <w:sz w:val="20"/>
                <w:szCs w:val="20"/>
              </w:rPr>
              <w:t>Piešťany</w:t>
            </w:r>
          </w:p>
          <w:p w:rsidR="00526C11" w:rsidRPr="00526C11" w:rsidRDefault="00526C11" w:rsidP="00526C11">
            <w:pPr>
              <w:spacing w:line="240" w:lineRule="auto"/>
              <w:contextualSpacing/>
              <w:rPr>
                <w:color w:val="000000"/>
                <w:sz w:val="20"/>
                <w:szCs w:val="20"/>
              </w:rPr>
            </w:pPr>
            <w:r w:rsidRPr="00526C11">
              <w:rPr>
                <w:color w:val="000000"/>
                <w:sz w:val="20"/>
                <w:szCs w:val="20"/>
              </w:rPr>
              <w:t>Senica</w:t>
            </w:r>
          </w:p>
          <w:p w:rsidR="00526C11" w:rsidRPr="00526C11" w:rsidRDefault="00526C11" w:rsidP="00526C11">
            <w:pPr>
              <w:spacing w:line="240" w:lineRule="auto"/>
              <w:contextualSpacing/>
              <w:rPr>
                <w:color w:val="000000"/>
                <w:sz w:val="20"/>
                <w:szCs w:val="20"/>
              </w:rPr>
            </w:pPr>
            <w:r w:rsidRPr="00526C11">
              <w:rPr>
                <w:color w:val="000000"/>
                <w:sz w:val="20"/>
                <w:szCs w:val="20"/>
              </w:rPr>
              <w:t>Trnava</w:t>
            </w:r>
          </w:p>
        </w:tc>
      </w:tr>
      <w:tr w:rsidR="00526C11" w:rsidRPr="00344365" w:rsidTr="00136606">
        <w:trPr>
          <w:trHeight w:val="300"/>
        </w:trPr>
        <w:tc>
          <w:tcPr>
            <w:tcW w:w="2934" w:type="dxa"/>
            <w:vMerge/>
            <w:tcBorders>
              <w:left w:val="single" w:sz="18" w:space="0" w:color="auto"/>
              <w:right w:val="single" w:sz="4" w:space="0" w:color="auto"/>
            </w:tcBorders>
            <w:shd w:val="clear" w:color="auto" w:fill="auto"/>
            <w:noWrap/>
            <w:vAlign w:val="center"/>
            <w:hideMark/>
          </w:tcPr>
          <w:p w:rsidR="00526C11" w:rsidRPr="00526C11" w:rsidRDefault="00526C11" w:rsidP="00526C11">
            <w:pPr>
              <w:spacing w:line="240" w:lineRule="auto"/>
              <w:contextualSpacing/>
              <w:rPr>
                <w:color w:val="000000"/>
                <w:sz w:val="20"/>
                <w:szCs w:val="20"/>
              </w:rPr>
            </w:pPr>
          </w:p>
        </w:tc>
        <w:tc>
          <w:tcPr>
            <w:tcW w:w="2935" w:type="dxa"/>
            <w:tcBorders>
              <w:top w:val="single" w:sz="4" w:space="0" w:color="auto"/>
              <w:left w:val="nil"/>
              <w:bottom w:val="single" w:sz="4" w:space="0" w:color="auto"/>
              <w:right w:val="single" w:sz="4" w:space="0" w:color="auto"/>
            </w:tcBorders>
            <w:shd w:val="clear" w:color="auto" w:fill="auto"/>
            <w:noWrap/>
            <w:vAlign w:val="center"/>
            <w:hideMark/>
          </w:tcPr>
          <w:p w:rsidR="00526C11" w:rsidRPr="00526C11" w:rsidRDefault="00526C11" w:rsidP="00526C11">
            <w:pPr>
              <w:spacing w:line="240" w:lineRule="auto"/>
              <w:contextualSpacing/>
              <w:rPr>
                <w:color w:val="000000"/>
                <w:sz w:val="20"/>
                <w:szCs w:val="20"/>
              </w:rPr>
            </w:pPr>
            <w:r w:rsidRPr="00526C11">
              <w:rPr>
                <w:color w:val="000000"/>
                <w:sz w:val="20"/>
                <w:szCs w:val="20"/>
              </w:rPr>
              <w:t>Trenčiansky</w:t>
            </w:r>
          </w:p>
        </w:tc>
        <w:tc>
          <w:tcPr>
            <w:tcW w:w="2935" w:type="dxa"/>
            <w:tcBorders>
              <w:top w:val="single" w:sz="4" w:space="0" w:color="auto"/>
              <w:left w:val="nil"/>
              <w:bottom w:val="single" w:sz="4" w:space="0" w:color="auto"/>
              <w:right w:val="single" w:sz="18" w:space="0" w:color="auto"/>
            </w:tcBorders>
            <w:shd w:val="clear" w:color="auto" w:fill="auto"/>
            <w:noWrap/>
            <w:vAlign w:val="center"/>
            <w:hideMark/>
          </w:tcPr>
          <w:p w:rsidR="00526C11" w:rsidRPr="00526C11" w:rsidRDefault="00526C11" w:rsidP="00526C11">
            <w:pPr>
              <w:spacing w:line="240" w:lineRule="auto"/>
              <w:contextualSpacing/>
              <w:rPr>
                <w:color w:val="000000"/>
                <w:sz w:val="20"/>
                <w:szCs w:val="20"/>
              </w:rPr>
            </w:pPr>
            <w:r w:rsidRPr="00526C11">
              <w:rPr>
                <w:color w:val="000000"/>
                <w:sz w:val="20"/>
                <w:szCs w:val="20"/>
              </w:rPr>
              <w:t>Bánovce nad Bebravou</w:t>
            </w:r>
          </w:p>
          <w:p w:rsidR="00526C11" w:rsidRPr="00526C11" w:rsidRDefault="00526C11" w:rsidP="00526C11">
            <w:pPr>
              <w:spacing w:line="240" w:lineRule="auto"/>
              <w:contextualSpacing/>
              <w:rPr>
                <w:color w:val="000000"/>
                <w:sz w:val="20"/>
                <w:szCs w:val="20"/>
              </w:rPr>
            </w:pPr>
            <w:r w:rsidRPr="00526C11">
              <w:rPr>
                <w:color w:val="000000"/>
                <w:sz w:val="20"/>
                <w:szCs w:val="20"/>
              </w:rPr>
              <w:t>Nové Mesto nad Váhom</w:t>
            </w:r>
          </w:p>
          <w:p w:rsidR="00526C11" w:rsidRPr="00526C11" w:rsidRDefault="00526C11" w:rsidP="00526C11">
            <w:pPr>
              <w:spacing w:line="240" w:lineRule="auto"/>
              <w:contextualSpacing/>
              <w:rPr>
                <w:color w:val="000000"/>
                <w:sz w:val="20"/>
                <w:szCs w:val="20"/>
              </w:rPr>
            </w:pPr>
            <w:r w:rsidRPr="00526C11">
              <w:rPr>
                <w:color w:val="000000"/>
                <w:sz w:val="20"/>
                <w:szCs w:val="20"/>
              </w:rPr>
              <w:t>Považská Bystrica</w:t>
            </w:r>
          </w:p>
          <w:p w:rsidR="00526C11" w:rsidRPr="00526C11" w:rsidRDefault="00526C11" w:rsidP="00526C11">
            <w:pPr>
              <w:spacing w:line="240" w:lineRule="auto"/>
              <w:contextualSpacing/>
              <w:rPr>
                <w:color w:val="000000"/>
                <w:sz w:val="20"/>
                <w:szCs w:val="20"/>
              </w:rPr>
            </w:pPr>
            <w:r w:rsidRPr="00526C11">
              <w:rPr>
                <w:color w:val="000000"/>
                <w:sz w:val="20"/>
                <w:szCs w:val="20"/>
              </w:rPr>
              <w:t>Prievidza</w:t>
            </w:r>
          </w:p>
          <w:p w:rsidR="00526C11" w:rsidRPr="00526C11" w:rsidRDefault="00526C11" w:rsidP="00526C11">
            <w:pPr>
              <w:spacing w:line="240" w:lineRule="auto"/>
              <w:contextualSpacing/>
              <w:rPr>
                <w:color w:val="000000"/>
                <w:sz w:val="20"/>
                <w:szCs w:val="20"/>
              </w:rPr>
            </w:pPr>
            <w:r w:rsidRPr="00526C11">
              <w:rPr>
                <w:color w:val="000000"/>
                <w:sz w:val="20"/>
                <w:szCs w:val="20"/>
              </w:rPr>
              <w:t>Trenčín</w:t>
            </w:r>
          </w:p>
        </w:tc>
      </w:tr>
      <w:tr w:rsidR="00526C11" w:rsidRPr="00344365" w:rsidTr="00136606">
        <w:trPr>
          <w:trHeight w:val="300"/>
        </w:trPr>
        <w:tc>
          <w:tcPr>
            <w:tcW w:w="2934" w:type="dxa"/>
            <w:vMerge/>
            <w:tcBorders>
              <w:left w:val="single" w:sz="18" w:space="0" w:color="auto"/>
              <w:bottom w:val="single" w:sz="18" w:space="0" w:color="auto"/>
              <w:right w:val="single" w:sz="4" w:space="0" w:color="auto"/>
            </w:tcBorders>
            <w:shd w:val="clear" w:color="auto" w:fill="auto"/>
            <w:noWrap/>
            <w:vAlign w:val="center"/>
            <w:hideMark/>
          </w:tcPr>
          <w:p w:rsidR="00526C11" w:rsidRPr="00526C11" w:rsidRDefault="00526C11" w:rsidP="00526C11">
            <w:pPr>
              <w:spacing w:line="240" w:lineRule="auto"/>
              <w:contextualSpacing/>
              <w:rPr>
                <w:color w:val="000000"/>
                <w:sz w:val="20"/>
                <w:szCs w:val="20"/>
              </w:rPr>
            </w:pPr>
          </w:p>
        </w:tc>
        <w:tc>
          <w:tcPr>
            <w:tcW w:w="2935" w:type="dxa"/>
            <w:tcBorders>
              <w:top w:val="single" w:sz="4" w:space="0" w:color="auto"/>
              <w:left w:val="nil"/>
              <w:bottom w:val="single" w:sz="18" w:space="0" w:color="auto"/>
              <w:right w:val="single" w:sz="4" w:space="0" w:color="auto"/>
            </w:tcBorders>
            <w:shd w:val="clear" w:color="auto" w:fill="auto"/>
            <w:noWrap/>
            <w:vAlign w:val="center"/>
            <w:hideMark/>
          </w:tcPr>
          <w:p w:rsidR="00526C11" w:rsidRPr="00526C11" w:rsidRDefault="00526C11" w:rsidP="00526C11">
            <w:pPr>
              <w:spacing w:line="240" w:lineRule="auto"/>
              <w:contextualSpacing/>
              <w:rPr>
                <w:color w:val="000000"/>
                <w:sz w:val="20"/>
                <w:szCs w:val="20"/>
              </w:rPr>
            </w:pPr>
            <w:r w:rsidRPr="00526C11">
              <w:rPr>
                <w:color w:val="000000"/>
                <w:sz w:val="20"/>
                <w:szCs w:val="20"/>
              </w:rPr>
              <w:t>Nitriansky</w:t>
            </w:r>
          </w:p>
        </w:tc>
        <w:tc>
          <w:tcPr>
            <w:tcW w:w="2935" w:type="dxa"/>
            <w:tcBorders>
              <w:top w:val="single" w:sz="4" w:space="0" w:color="auto"/>
              <w:left w:val="nil"/>
              <w:bottom w:val="single" w:sz="18" w:space="0" w:color="auto"/>
              <w:right w:val="single" w:sz="18" w:space="0" w:color="auto"/>
            </w:tcBorders>
            <w:shd w:val="clear" w:color="auto" w:fill="auto"/>
            <w:noWrap/>
            <w:vAlign w:val="center"/>
            <w:hideMark/>
          </w:tcPr>
          <w:p w:rsidR="00526C11" w:rsidRPr="00526C11" w:rsidRDefault="00526C11" w:rsidP="00526C11">
            <w:pPr>
              <w:spacing w:line="240" w:lineRule="auto"/>
              <w:contextualSpacing/>
              <w:rPr>
                <w:color w:val="000000"/>
                <w:sz w:val="20"/>
                <w:szCs w:val="20"/>
              </w:rPr>
            </w:pPr>
            <w:r w:rsidRPr="00526C11">
              <w:rPr>
                <w:color w:val="000000"/>
                <w:sz w:val="20"/>
                <w:szCs w:val="20"/>
              </w:rPr>
              <w:t>Komárno</w:t>
            </w:r>
          </w:p>
          <w:p w:rsidR="00526C11" w:rsidRPr="00526C11" w:rsidRDefault="00526C11" w:rsidP="00526C11">
            <w:pPr>
              <w:spacing w:line="240" w:lineRule="auto"/>
              <w:contextualSpacing/>
              <w:rPr>
                <w:color w:val="000000"/>
                <w:sz w:val="20"/>
                <w:szCs w:val="20"/>
              </w:rPr>
            </w:pPr>
            <w:r w:rsidRPr="00526C11">
              <w:rPr>
                <w:color w:val="000000"/>
                <w:sz w:val="20"/>
                <w:szCs w:val="20"/>
              </w:rPr>
              <w:t>Levice</w:t>
            </w:r>
          </w:p>
          <w:p w:rsidR="00526C11" w:rsidRPr="00526C11" w:rsidRDefault="00526C11" w:rsidP="00526C11">
            <w:pPr>
              <w:spacing w:line="240" w:lineRule="auto"/>
              <w:contextualSpacing/>
              <w:rPr>
                <w:color w:val="000000"/>
                <w:sz w:val="20"/>
                <w:szCs w:val="20"/>
              </w:rPr>
            </w:pPr>
            <w:r w:rsidRPr="00526C11">
              <w:rPr>
                <w:color w:val="000000"/>
                <w:sz w:val="20"/>
                <w:szCs w:val="20"/>
              </w:rPr>
              <w:t>Nitra</w:t>
            </w:r>
          </w:p>
          <w:p w:rsidR="00526C11" w:rsidRPr="00526C11" w:rsidRDefault="00526C11" w:rsidP="00526C11">
            <w:pPr>
              <w:spacing w:line="240" w:lineRule="auto"/>
              <w:contextualSpacing/>
              <w:rPr>
                <w:color w:val="000000"/>
                <w:sz w:val="20"/>
                <w:szCs w:val="20"/>
              </w:rPr>
            </w:pPr>
            <w:r w:rsidRPr="00526C11">
              <w:rPr>
                <w:color w:val="000000"/>
                <w:sz w:val="20"/>
                <w:szCs w:val="20"/>
              </w:rPr>
              <w:t>Nové Zámky</w:t>
            </w:r>
          </w:p>
          <w:p w:rsidR="00526C11" w:rsidRPr="00526C11" w:rsidRDefault="00526C11" w:rsidP="00526C11">
            <w:pPr>
              <w:spacing w:line="240" w:lineRule="auto"/>
              <w:contextualSpacing/>
              <w:rPr>
                <w:color w:val="000000"/>
                <w:sz w:val="20"/>
                <w:szCs w:val="20"/>
              </w:rPr>
            </w:pPr>
            <w:r w:rsidRPr="00526C11">
              <w:rPr>
                <w:color w:val="000000"/>
                <w:sz w:val="20"/>
                <w:szCs w:val="20"/>
              </w:rPr>
              <w:t>Šaľa</w:t>
            </w:r>
          </w:p>
          <w:p w:rsidR="00526C11" w:rsidRPr="00526C11" w:rsidRDefault="00526C11" w:rsidP="00526C11">
            <w:pPr>
              <w:spacing w:line="240" w:lineRule="auto"/>
              <w:contextualSpacing/>
              <w:rPr>
                <w:color w:val="000000"/>
                <w:sz w:val="20"/>
                <w:szCs w:val="20"/>
              </w:rPr>
            </w:pPr>
            <w:r w:rsidRPr="00526C11">
              <w:rPr>
                <w:color w:val="000000"/>
                <w:sz w:val="20"/>
                <w:szCs w:val="20"/>
              </w:rPr>
              <w:t>Štúrovo</w:t>
            </w:r>
          </w:p>
          <w:p w:rsidR="00526C11" w:rsidRPr="00526C11" w:rsidRDefault="00526C11" w:rsidP="00526C11">
            <w:pPr>
              <w:spacing w:line="240" w:lineRule="auto"/>
              <w:contextualSpacing/>
              <w:rPr>
                <w:color w:val="000000"/>
                <w:sz w:val="20"/>
                <w:szCs w:val="20"/>
              </w:rPr>
            </w:pPr>
            <w:r w:rsidRPr="00526C11">
              <w:rPr>
                <w:color w:val="000000"/>
                <w:sz w:val="20"/>
                <w:szCs w:val="20"/>
              </w:rPr>
              <w:t>Topoľčany</w:t>
            </w:r>
          </w:p>
        </w:tc>
      </w:tr>
      <w:tr w:rsidR="00526C11" w:rsidRPr="00344365" w:rsidTr="00136606">
        <w:trPr>
          <w:trHeight w:val="300"/>
        </w:trPr>
        <w:tc>
          <w:tcPr>
            <w:tcW w:w="2934" w:type="dxa"/>
            <w:vMerge w:val="restart"/>
            <w:tcBorders>
              <w:top w:val="single" w:sz="18" w:space="0" w:color="auto"/>
              <w:left w:val="single" w:sz="18" w:space="0" w:color="auto"/>
              <w:bottom w:val="single" w:sz="18" w:space="0" w:color="auto"/>
              <w:right w:val="single" w:sz="4" w:space="0" w:color="auto"/>
            </w:tcBorders>
            <w:shd w:val="clear" w:color="auto" w:fill="auto"/>
            <w:noWrap/>
            <w:vAlign w:val="center"/>
            <w:hideMark/>
          </w:tcPr>
          <w:p w:rsidR="00526C11" w:rsidRPr="00526C11" w:rsidRDefault="00526C11" w:rsidP="00526C11">
            <w:pPr>
              <w:spacing w:line="240" w:lineRule="auto"/>
              <w:contextualSpacing/>
              <w:rPr>
                <w:color w:val="000000"/>
                <w:sz w:val="20"/>
                <w:szCs w:val="20"/>
              </w:rPr>
            </w:pPr>
            <w:r w:rsidRPr="00526C11">
              <w:rPr>
                <w:color w:val="000000"/>
                <w:sz w:val="20"/>
                <w:szCs w:val="20"/>
              </w:rPr>
              <w:t>Stredné Slovensko</w:t>
            </w:r>
          </w:p>
          <w:p w:rsidR="00526C11" w:rsidRPr="00526C11" w:rsidRDefault="00526C11" w:rsidP="00526C11">
            <w:pPr>
              <w:spacing w:line="240" w:lineRule="auto"/>
              <w:contextualSpacing/>
              <w:rPr>
                <w:color w:val="000000"/>
                <w:sz w:val="20"/>
                <w:szCs w:val="20"/>
              </w:rPr>
            </w:pPr>
          </w:p>
        </w:tc>
        <w:tc>
          <w:tcPr>
            <w:tcW w:w="2935" w:type="dxa"/>
            <w:tcBorders>
              <w:top w:val="single" w:sz="18" w:space="0" w:color="auto"/>
              <w:left w:val="nil"/>
              <w:bottom w:val="single" w:sz="4" w:space="0" w:color="auto"/>
              <w:right w:val="single" w:sz="4" w:space="0" w:color="auto"/>
            </w:tcBorders>
            <w:shd w:val="clear" w:color="auto" w:fill="auto"/>
            <w:noWrap/>
            <w:vAlign w:val="center"/>
            <w:hideMark/>
          </w:tcPr>
          <w:p w:rsidR="00526C11" w:rsidRPr="00526C11" w:rsidRDefault="00526C11" w:rsidP="00526C11">
            <w:pPr>
              <w:spacing w:line="240" w:lineRule="auto"/>
              <w:contextualSpacing/>
              <w:rPr>
                <w:color w:val="000000"/>
                <w:sz w:val="20"/>
                <w:szCs w:val="20"/>
              </w:rPr>
            </w:pPr>
            <w:r w:rsidRPr="00526C11">
              <w:rPr>
                <w:color w:val="000000"/>
                <w:sz w:val="20"/>
                <w:szCs w:val="20"/>
              </w:rPr>
              <w:t>Žilinský</w:t>
            </w:r>
          </w:p>
        </w:tc>
        <w:tc>
          <w:tcPr>
            <w:tcW w:w="2935" w:type="dxa"/>
            <w:tcBorders>
              <w:top w:val="single" w:sz="18" w:space="0" w:color="auto"/>
              <w:left w:val="nil"/>
              <w:bottom w:val="single" w:sz="4" w:space="0" w:color="auto"/>
              <w:right w:val="single" w:sz="18" w:space="0" w:color="auto"/>
            </w:tcBorders>
            <w:shd w:val="clear" w:color="auto" w:fill="auto"/>
            <w:noWrap/>
            <w:vAlign w:val="center"/>
            <w:hideMark/>
          </w:tcPr>
          <w:p w:rsidR="00526C11" w:rsidRPr="00526C11" w:rsidRDefault="00526C11" w:rsidP="00526C11">
            <w:pPr>
              <w:spacing w:line="240" w:lineRule="auto"/>
              <w:contextualSpacing/>
              <w:rPr>
                <w:color w:val="000000"/>
                <w:sz w:val="20"/>
                <w:szCs w:val="20"/>
              </w:rPr>
            </w:pPr>
            <w:r w:rsidRPr="00526C11">
              <w:rPr>
                <w:color w:val="000000"/>
                <w:sz w:val="20"/>
                <w:szCs w:val="20"/>
              </w:rPr>
              <w:t>Žilina</w:t>
            </w:r>
          </w:p>
          <w:p w:rsidR="00526C11" w:rsidRPr="00526C11" w:rsidRDefault="00526C11" w:rsidP="00526C11">
            <w:pPr>
              <w:spacing w:line="240" w:lineRule="auto"/>
              <w:contextualSpacing/>
              <w:rPr>
                <w:color w:val="000000"/>
                <w:sz w:val="20"/>
                <w:szCs w:val="20"/>
              </w:rPr>
            </w:pPr>
            <w:r w:rsidRPr="00526C11">
              <w:rPr>
                <w:color w:val="000000"/>
                <w:sz w:val="20"/>
                <w:szCs w:val="20"/>
              </w:rPr>
              <w:t>Čadca</w:t>
            </w:r>
          </w:p>
          <w:p w:rsidR="00526C11" w:rsidRPr="00526C11" w:rsidRDefault="00526C11" w:rsidP="00526C11">
            <w:pPr>
              <w:spacing w:line="240" w:lineRule="auto"/>
              <w:contextualSpacing/>
              <w:rPr>
                <w:color w:val="000000"/>
                <w:sz w:val="20"/>
                <w:szCs w:val="20"/>
              </w:rPr>
            </w:pPr>
            <w:r w:rsidRPr="00526C11">
              <w:rPr>
                <w:color w:val="000000"/>
                <w:sz w:val="20"/>
                <w:szCs w:val="20"/>
              </w:rPr>
              <w:t>Dolný Kubín</w:t>
            </w:r>
          </w:p>
          <w:p w:rsidR="00526C11" w:rsidRPr="00526C11" w:rsidRDefault="00526C11" w:rsidP="00526C11">
            <w:pPr>
              <w:spacing w:line="240" w:lineRule="auto"/>
              <w:contextualSpacing/>
              <w:rPr>
                <w:color w:val="000000"/>
                <w:sz w:val="20"/>
                <w:szCs w:val="20"/>
              </w:rPr>
            </w:pPr>
            <w:r w:rsidRPr="00526C11">
              <w:rPr>
                <w:color w:val="000000"/>
                <w:sz w:val="20"/>
                <w:szCs w:val="20"/>
              </w:rPr>
              <w:t>Liptovský Mikuláš</w:t>
            </w:r>
          </w:p>
          <w:p w:rsidR="00526C11" w:rsidRPr="00526C11" w:rsidRDefault="00526C11" w:rsidP="00526C11">
            <w:pPr>
              <w:spacing w:line="240" w:lineRule="auto"/>
              <w:contextualSpacing/>
              <w:rPr>
                <w:color w:val="000000"/>
                <w:sz w:val="20"/>
                <w:szCs w:val="20"/>
              </w:rPr>
            </w:pPr>
            <w:r w:rsidRPr="00526C11">
              <w:rPr>
                <w:color w:val="000000"/>
                <w:sz w:val="20"/>
                <w:szCs w:val="20"/>
              </w:rPr>
              <w:t>Martin</w:t>
            </w:r>
          </w:p>
          <w:p w:rsidR="00526C11" w:rsidRPr="00526C11" w:rsidRDefault="00526C11" w:rsidP="00526C11">
            <w:pPr>
              <w:spacing w:line="240" w:lineRule="auto"/>
              <w:contextualSpacing/>
              <w:rPr>
                <w:color w:val="000000"/>
                <w:sz w:val="20"/>
                <w:szCs w:val="20"/>
              </w:rPr>
            </w:pPr>
            <w:r w:rsidRPr="00526C11">
              <w:rPr>
                <w:color w:val="000000"/>
                <w:sz w:val="20"/>
                <w:szCs w:val="20"/>
              </w:rPr>
              <w:t>Námestovo</w:t>
            </w:r>
          </w:p>
          <w:p w:rsidR="00526C11" w:rsidRPr="00526C11" w:rsidRDefault="00526C11" w:rsidP="00526C11">
            <w:pPr>
              <w:spacing w:line="240" w:lineRule="auto"/>
              <w:contextualSpacing/>
              <w:rPr>
                <w:color w:val="000000"/>
                <w:sz w:val="20"/>
                <w:szCs w:val="20"/>
              </w:rPr>
            </w:pPr>
            <w:r w:rsidRPr="00526C11">
              <w:rPr>
                <w:color w:val="000000"/>
                <w:sz w:val="20"/>
                <w:szCs w:val="20"/>
              </w:rPr>
              <w:t>Ružomberok</w:t>
            </w:r>
          </w:p>
        </w:tc>
      </w:tr>
      <w:tr w:rsidR="00526C11" w:rsidRPr="00344365" w:rsidTr="00136606">
        <w:trPr>
          <w:trHeight w:val="300"/>
        </w:trPr>
        <w:tc>
          <w:tcPr>
            <w:tcW w:w="2934" w:type="dxa"/>
            <w:vMerge/>
            <w:tcBorders>
              <w:top w:val="single" w:sz="18" w:space="0" w:color="auto"/>
              <w:left w:val="single" w:sz="18" w:space="0" w:color="auto"/>
              <w:bottom w:val="single" w:sz="18" w:space="0" w:color="auto"/>
              <w:right w:val="single" w:sz="4" w:space="0" w:color="auto"/>
            </w:tcBorders>
            <w:shd w:val="clear" w:color="auto" w:fill="auto"/>
            <w:noWrap/>
            <w:vAlign w:val="center"/>
            <w:hideMark/>
          </w:tcPr>
          <w:p w:rsidR="00526C11" w:rsidRPr="00526C11" w:rsidRDefault="00526C11" w:rsidP="00526C11">
            <w:pPr>
              <w:spacing w:line="240" w:lineRule="auto"/>
              <w:contextualSpacing/>
              <w:rPr>
                <w:color w:val="000000"/>
                <w:sz w:val="20"/>
                <w:szCs w:val="20"/>
              </w:rPr>
            </w:pPr>
          </w:p>
        </w:tc>
        <w:tc>
          <w:tcPr>
            <w:tcW w:w="2935" w:type="dxa"/>
            <w:tcBorders>
              <w:top w:val="single" w:sz="4" w:space="0" w:color="auto"/>
              <w:left w:val="nil"/>
              <w:bottom w:val="single" w:sz="18" w:space="0" w:color="auto"/>
              <w:right w:val="single" w:sz="4" w:space="0" w:color="auto"/>
            </w:tcBorders>
            <w:shd w:val="clear" w:color="auto" w:fill="auto"/>
            <w:noWrap/>
            <w:vAlign w:val="center"/>
            <w:hideMark/>
          </w:tcPr>
          <w:p w:rsidR="00526C11" w:rsidRPr="00526C11" w:rsidRDefault="00526C11" w:rsidP="00526C11">
            <w:pPr>
              <w:spacing w:line="240" w:lineRule="auto"/>
              <w:contextualSpacing/>
              <w:rPr>
                <w:color w:val="000000"/>
                <w:sz w:val="20"/>
                <w:szCs w:val="20"/>
              </w:rPr>
            </w:pPr>
            <w:r w:rsidRPr="00526C11">
              <w:rPr>
                <w:color w:val="000000"/>
                <w:sz w:val="20"/>
                <w:szCs w:val="20"/>
              </w:rPr>
              <w:t>Banskobystrický</w:t>
            </w:r>
          </w:p>
        </w:tc>
        <w:tc>
          <w:tcPr>
            <w:tcW w:w="2935" w:type="dxa"/>
            <w:tcBorders>
              <w:top w:val="single" w:sz="4" w:space="0" w:color="auto"/>
              <w:left w:val="nil"/>
              <w:bottom w:val="single" w:sz="18" w:space="0" w:color="auto"/>
              <w:right w:val="single" w:sz="18" w:space="0" w:color="auto"/>
            </w:tcBorders>
            <w:shd w:val="clear" w:color="auto" w:fill="auto"/>
            <w:noWrap/>
            <w:vAlign w:val="center"/>
            <w:hideMark/>
          </w:tcPr>
          <w:p w:rsidR="00526C11" w:rsidRPr="00526C11" w:rsidRDefault="00526C11" w:rsidP="00526C11">
            <w:pPr>
              <w:spacing w:line="240" w:lineRule="auto"/>
              <w:contextualSpacing/>
              <w:rPr>
                <w:color w:val="000000"/>
                <w:sz w:val="20"/>
                <w:szCs w:val="20"/>
              </w:rPr>
            </w:pPr>
            <w:r w:rsidRPr="00526C11">
              <w:rPr>
                <w:color w:val="000000"/>
                <w:sz w:val="20"/>
                <w:szCs w:val="20"/>
              </w:rPr>
              <w:t>Veľký Krtíš</w:t>
            </w:r>
          </w:p>
          <w:p w:rsidR="00526C11" w:rsidRPr="00526C11" w:rsidRDefault="00526C11" w:rsidP="00526C11">
            <w:pPr>
              <w:spacing w:line="240" w:lineRule="auto"/>
              <w:contextualSpacing/>
              <w:rPr>
                <w:color w:val="000000"/>
                <w:sz w:val="20"/>
                <w:szCs w:val="20"/>
              </w:rPr>
            </w:pPr>
            <w:r w:rsidRPr="00526C11">
              <w:rPr>
                <w:color w:val="000000"/>
                <w:sz w:val="20"/>
                <w:szCs w:val="20"/>
              </w:rPr>
              <w:t>Zvolen</w:t>
            </w:r>
          </w:p>
          <w:p w:rsidR="00526C11" w:rsidRPr="00526C11" w:rsidRDefault="00526C11" w:rsidP="00526C11">
            <w:pPr>
              <w:spacing w:line="240" w:lineRule="auto"/>
              <w:contextualSpacing/>
              <w:rPr>
                <w:color w:val="000000"/>
                <w:sz w:val="20"/>
                <w:szCs w:val="20"/>
              </w:rPr>
            </w:pPr>
            <w:r w:rsidRPr="00526C11">
              <w:rPr>
                <w:color w:val="000000"/>
                <w:sz w:val="20"/>
                <w:szCs w:val="20"/>
              </w:rPr>
              <w:t>Žiar nad Hronom</w:t>
            </w:r>
          </w:p>
          <w:p w:rsidR="00526C11" w:rsidRPr="00526C11" w:rsidRDefault="00526C11" w:rsidP="00526C11">
            <w:pPr>
              <w:spacing w:line="240" w:lineRule="auto"/>
              <w:contextualSpacing/>
              <w:rPr>
                <w:color w:val="000000"/>
                <w:sz w:val="20"/>
                <w:szCs w:val="20"/>
              </w:rPr>
            </w:pPr>
            <w:r w:rsidRPr="00526C11">
              <w:rPr>
                <w:color w:val="000000"/>
                <w:sz w:val="20"/>
                <w:szCs w:val="20"/>
              </w:rPr>
              <w:t>Banská Bystrica</w:t>
            </w:r>
          </w:p>
          <w:p w:rsidR="00526C11" w:rsidRPr="00526C11" w:rsidRDefault="00526C11" w:rsidP="00526C11">
            <w:pPr>
              <w:spacing w:line="240" w:lineRule="auto"/>
              <w:contextualSpacing/>
              <w:rPr>
                <w:color w:val="000000"/>
                <w:sz w:val="20"/>
                <w:szCs w:val="20"/>
              </w:rPr>
            </w:pPr>
            <w:r w:rsidRPr="00526C11">
              <w:rPr>
                <w:color w:val="000000"/>
                <w:sz w:val="20"/>
                <w:szCs w:val="20"/>
              </w:rPr>
              <w:t>Brezno</w:t>
            </w:r>
          </w:p>
          <w:p w:rsidR="00526C11" w:rsidRPr="00526C11" w:rsidRDefault="00526C11" w:rsidP="00526C11">
            <w:pPr>
              <w:spacing w:line="240" w:lineRule="auto"/>
              <w:contextualSpacing/>
              <w:rPr>
                <w:color w:val="000000"/>
                <w:sz w:val="20"/>
                <w:szCs w:val="20"/>
              </w:rPr>
            </w:pPr>
            <w:r w:rsidRPr="00526C11">
              <w:rPr>
                <w:color w:val="000000"/>
                <w:sz w:val="20"/>
                <w:szCs w:val="20"/>
              </w:rPr>
              <w:t>Lučenec</w:t>
            </w:r>
          </w:p>
          <w:p w:rsidR="00526C11" w:rsidRPr="00526C11" w:rsidRDefault="00526C11" w:rsidP="00526C11">
            <w:pPr>
              <w:spacing w:line="240" w:lineRule="auto"/>
              <w:contextualSpacing/>
              <w:rPr>
                <w:color w:val="000000"/>
                <w:sz w:val="20"/>
                <w:szCs w:val="20"/>
              </w:rPr>
            </w:pPr>
            <w:r w:rsidRPr="00526C11">
              <w:rPr>
                <w:color w:val="000000"/>
                <w:sz w:val="20"/>
                <w:szCs w:val="20"/>
              </w:rPr>
              <w:t>Rimavská Sobota</w:t>
            </w:r>
          </w:p>
        </w:tc>
      </w:tr>
      <w:tr w:rsidR="00526C11" w:rsidRPr="00344365" w:rsidTr="00136606">
        <w:trPr>
          <w:trHeight w:val="300"/>
        </w:trPr>
        <w:tc>
          <w:tcPr>
            <w:tcW w:w="2934" w:type="dxa"/>
            <w:vMerge w:val="restart"/>
            <w:tcBorders>
              <w:top w:val="single" w:sz="18" w:space="0" w:color="auto"/>
              <w:left w:val="single" w:sz="18" w:space="0" w:color="auto"/>
              <w:bottom w:val="single" w:sz="18" w:space="0" w:color="auto"/>
              <w:right w:val="single" w:sz="4" w:space="0" w:color="auto"/>
            </w:tcBorders>
            <w:shd w:val="clear" w:color="auto" w:fill="auto"/>
            <w:noWrap/>
            <w:vAlign w:val="center"/>
            <w:hideMark/>
          </w:tcPr>
          <w:p w:rsidR="00526C11" w:rsidRPr="00526C11" w:rsidRDefault="00526C11" w:rsidP="00526C11">
            <w:pPr>
              <w:spacing w:line="240" w:lineRule="auto"/>
              <w:contextualSpacing/>
              <w:rPr>
                <w:color w:val="000000"/>
                <w:sz w:val="20"/>
                <w:szCs w:val="20"/>
              </w:rPr>
            </w:pPr>
            <w:r w:rsidRPr="00526C11">
              <w:rPr>
                <w:color w:val="000000"/>
                <w:sz w:val="20"/>
                <w:szCs w:val="20"/>
              </w:rPr>
              <w:t>Východné Slovensko</w:t>
            </w:r>
          </w:p>
        </w:tc>
        <w:tc>
          <w:tcPr>
            <w:tcW w:w="2935" w:type="dxa"/>
            <w:tcBorders>
              <w:top w:val="single" w:sz="4" w:space="0" w:color="auto"/>
              <w:left w:val="nil"/>
              <w:bottom w:val="single" w:sz="18" w:space="0" w:color="auto"/>
              <w:right w:val="single" w:sz="4" w:space="0" w:color="auto"/>
            </w:tcBorders>
            <w:shd w:val="clear" w:color="auto" w:fill="auto"/>
            <w:noWrap/>
            <w:vAlign w:val="center"/>
            <w:hideMark/>
          </w:tcPr>
          <w:p w:rsidR="00526C11" w:rsidRPr="00526C11" w:rsidRDefault="00526C11" w:rsidP="00526C11">
            <w:pPr>
              <w:spacing w:line="240" w:lineRule="auto"/>
              <w:contextualSpacing/>
              <w:rPr>
                <w:color w:val="000000"/>
                <w:sz w:val="20"/>
                <w:szCs w:val="20"/>
              </w:rPr>
            </w:pPr>
            <w:r w:rsidRPr="00526C11">
              <w:rPr>
                <w:color w:val="000000"/>
                <w:sz w:val="20"/>
                <w:szCs w:val="20"/>
              </w:rPr>
              <w:t>Prešovský</w:t>
            </w:r>
          </w:p>
        </w:tc>
        <w:tc>
          <w:tcPr>
            <w:tcW w:w="2935" w:type="dxa"/>
            <w:tcBorders>
              <w:top w:val="single" w:sz="4" w:space="0" w:color="auto"/>
              <w:left w:val="nil"/>
              <w:bottom w:val="single" w:sz="18" w:space="0" w:color="auto"/>
              <w:right w:val="single" w:sz="18" w:space="0" w:color="auto"/>
            </w:tcBorders>
            <w:shd w:val="clear" w:color="auto" w:fill="auto"/>
            <w:noWrap/>
            <w:vAlign w:val="center"/>
            <w:hideMark/>
          </w:tcPr>
          <w:p w:rsidR="00526C11" w:rsidRPr="00526C11" w:rsidRDefault="00526C11" w:rsidP="00526C11">
            <w:pPr>
              <w:spacing w:line="240" w:lineRule="auto"/>
              <w:contextualSpacing/>
              <w:rPr>
                <w:color w:val="000000"/>
                <w:sz w:val="20"/>
                <w:szCs w:val="20"/>
              </w:rPr>
            </w:pPr>
            <w:r w:rsidRPr="00526C11">
              <w:rPr>
                <w:color w:val="000000"/>
                <w:sz w:val="20"/>
                <w:szCs w:val="20"/>
              </w:rPr>
              <w:t>Stará Ľubovňa</w:t>
            </w:r>
          </w:p>
          <w:p w:rsidR="00526C11" w:rsidRPr="00526C11" w:rsidRDefault="00526C11" w:rsidP="00526C11">
            <w:pPr>
              <w:spacing w:line="240" w:lineRule="auto"/>
              <w:contextualSpacing/>
              <w:rPr>
                <w:color w:val="000000"/>
                <w:sz w:val="20"/>
                <w:szCs w:val="20"/>
              </w:rPr>
            </w:pPr>
            <w:r w:rsidRPr="00526C11">
              <w:rPr>
                <w:color w:val="000000"/>
                <w:sz w:val="20"/>
                <w:szCs w:val="20"/>
              </w:rPr>
              <w:t>Stropkov</w:t>
            </w:r>
          </w:p>
          <w:p w:rsidR="00526C11" w:rsidRPr="00526C11" w:rsidRDefault="00526C11" w:rsidP="00526C11">
            <w:pPr>
              <w:spacing w:line="240" w:lineRule="auto"/>
              <w:contextualSpacing/>
              <w:rPr>
                <w:color w:val="000000"/>
                <w:sz w:val="20"/>
                <w:szCs w:val="20"/>
              </w:rPr>
            </w:pPr>
            <w:r w:rsidRPr="00526C11">
              <w:rPr>
                <w:color w:val="000000"/>
                <w:sz w:val="20"/>
                <w:szCs w:val="20"/>
              </w:rPr>
              <w:t>Svidník</w:t>
            </w:r>
          </w:p>
          <w:p w:rsidR="00526C11" w:rsidRPr="00526C11" w:rsidRDefault="00526C11" w:rsidP="00526C11">
            <w:pPr>
              <w:spacing w:line="240" w:lineRule="auto"/>
              <w:contextualSpacing/>
              <w:rPr>
                <w:color w:val="000000"/>
                <w:sz w:val="20"/>
                <w:szCs w:val="20"/>
              </w:rPr>
            </w:pPr>
            <w:r w:rsidRPr="00526C11">
              <w:rPr>
                <w:color w:val="000000"/>
                <w:sz w:val="20"/>
                <w:szCs w:val="20"/>
              </w:rPr>
              <w:t>Vranov nad Topľou</w:t>
            </w:r>
          </w:p>
          <w:p w:rsidR="00526C11" w:rsidRPr="00526C11" w:rsidRDefault="00526C11" w:rsidP="00526C11">
            <w:pPr>
              <w:spacing w:line="240" w:lineRule="auto"/>
              <w:contextualSpacing/>
              <w:rPr>
                <w:color w:val="000000"/>
                <w:sz w:val="20"/>
                <w:szCs w:val="20"/>
              </w:rPr>
            </w:pPr>
            <w:r w:rsidRPr="00526C11">
              <w:rPr>
                <w:color w:val="000000"/>
                <w:sz w:val="20"/>
                <w:szCs w:val="20"/>
              </w:rPr>
              <w:t>Bardejov</w:t>
            </w:r>
          </w:p>
          <w:p w:rsidR="00526C11" w:rsidRPr="00526C11" w:rsidRDefault="00526C11" w:rsidP="00526C11">
            <w:pPr>
              <w:spacing w:line="240" w:lineRule="auto"/>
              <w:contextualSpacing/>
              <w:rPr>
                <w:color w:val="000000"/>
                <w:sz w:val="20"/>
                <w:szCs w:val="20"/>
              </w:rPr>
            </w:pPr>
            <w:r w:rsidRPr="00526C11">
              <w:rPr>
                <w:color w:val="000000"/>
                <w:sz w:val="20"/>
                <w:szCs w:val="20"/>
              </w:rPr>
              <w:t>Humenné</w:t>
            </w:r>
          </w:p>
          <w:p w:rsidR="00526C11" w:rsidRPr="00526C11" w:rsidRDefault="00526C11" w:rsidP="00526C11">
            <w:pPr>
              <w:spacing w:line="240" w:lineRule="auto"/>
              <w:contextualSpacing/>
              <w:rPr>
                <w:color w:val="000000"/>
                <w:sz w:val="20"/>
                <w:szCs w:val="20"/>
              </w:rPr>
            </w:pPr>
            <w:r w:rsidRPr="00526C11">
              <w:rPr>
                <w:color w:val="000000"/>
                <w:sz w:val="20"/>
                <w:szCs w:val="20"/>
              </w:rPr>
              <w:t>Kežmarok</w:t>
            </w:r>
          </w:p>
          <w:p w:rsidR="00526C11" w:rsidRPr="00526C11" w:rsidRDefault="00526C11" w:rsidP="00526C11">
            <w:pPr>
              <w:spacing w:line="240" w:lineRule="auto"/>
              <w:contextualSpacing/>
              <w:rPr>
                <w:color w:val="000000"/>
                <w:sz w:val="20"/>
                <w:szCs w:val="20"/>
              </w:rPr>
            </w:pPr>
            <w:r w:rsidRPr="00526C11">
              <w:rPr>
                <w:color w:val="000000"/>
                <w:sz w:val="20"/>
                <w:szCs w:val="20"/>
              </w:rPr>
              <w:t>Poprad</w:t>
            </w:r>
          </w:p>
          <w:p w:rsidR="00526C11" w:rsidRPr="00526C11" w:rsidRDefault="00526C11" w:rsidP="00526C11">
            <w:pPr>
              <w:spacing w:line="240" w:lineRule="auto"/>
              <w:contextualSpacing/>
              <w:rPr>
                <w:color w:val="000000"/>
                <w:sz w:val="20"/>
                <w:szCs w:val="20"/>
              </w:rPr>
            </w:pPr>
            <w:r w:rsidRPr="00526C11">
              <w:rPr>
                <w:color w:val="000000"/>
                <w:sz w:val="20"/>
                <w:szCs w:val="20"/>
              </w:rPr>
              <w:t>Prešov</w:t>
            </w:r>
          </w:p>
        </w:tc>
      </w:tr>
      <w:tr w:rsidR="00526C11" w:rsidRPr="00344365" w:rsidTr="00136606">
        <w:trPr>
          <w:trHeight w:val="300"/>
        </w:trPr>
        <w:tc>
          <w:tcPr>
            <w:tcW w:w="2934" w:type="dxa"/>
            <w:vMerge/>
            <w:tcBorders>
              <w:top w:val="single" w:sz="18" w:space="0" w:color="auto"/>
              <w:left w:val="single" w:sz="18" w:space="0" w:color="auto"/>
              <w:bottom w:val="single" w:sz="18" w:space="0" w:color="auto"/>
              <w:right w:val="single" w:sz="4" w:space="0" w:color="auto"/>
            </w:tcBorders>
            <w:shd w:val="clear" w:color="auto" w:fill="auto"/>
            <w:noWrap/>
            <w:vAlign w:val="center"/>
            <w:hideMark/>
          </w:tcPr>
          <w:p w:rsidR="00526C11" w:rsidRPr="00526C11" w:rsidRDefault="00526C11" w:rsidP="00526C11">
            <w:pPr>
              <w:spacing w:line="240" w:lineRule="auto"/>
              <w:contextualSpacing/>
              <w:rPr>
                <w:color w:val="000000"/>
                <w:sz w:val="20"/>
                <w:szCs w:val="20"/>
              </w:rPr>
            </w:pPr>
          </w:p>
        </w:tc>
        <w:tc>
          <w:tcPr>
            <w:tcW w:w="2935" w:type="dxa"/>
            <w:tcBorders>
              <w:top w:val="single" w:sz="4" w:space="0" w:color="auto"/>
              <w:left w:val="nil"/>
              <w:bottom w:val="single" w:sz="18" w:space="0" w:color="auto"/>
              <w:right w:val="single" w:sz="4" w:space="0" w:color="auto"/>
            </w:tcBorders>
            <w:shd w:val="clear" w:color="auto" w:fill="auto"/>
            <w:noWrap/>
            <w:vAlign w:val="center"/>
            <w:hideMark/>
          </w:tcPr>
          <w:p w:rsidR="00526C11" w:rsidRPr="00526C11" w:rsidRDefault="00526C11" w:rsidP="00526C11">
            <w:pPr>
              <w:spacing w:line="240" w:lineRule="auto"/>
              <w:contextualSpacing/>
              <w:rPr>
                <w:color w:val="000000"/>
                <w:sz w:val="20"/>
                <w:szCs w:val="20"/>
              </w:rPr>
            </w:pPr>
            <w:r w:rsidRPr="00526C11">
              <w:rPr>
                <w:color w:val="000000"/>
                <w:sz w:val="20"/>
                <w:szCs w:val="20"/>
              </w:rPr>
              <w:t>Košický</w:t>
            </w:r>
          </w:p>
        </w:tc>
        <w:tc>
          <w:tcPr>
            <w:tcW w:w="2935" w:type="dxa"/>
            <w:tcBorders>
              <w:top w:val="single" w:sz="4" w:space="0" w:color="auto"/>
              <w:left w:val="nil"/>
              <w:bottom w:val="single" w:sz="18" w:space="0" w:color="auto"/>
              <w:right w:val="single" w:sz="18" w:space="0" w:color="auto"/>
            </w:tcBorders>
            <w:shd w:val="clear" w:color="auto" w:fill="auto"/>
            <w:noWrap/>
            <w:vAlign w:val="center"/>
            <w:hideMark/>
          </w:tcPr>
          <w:p w:rsidR="00526C11" w:rsidRPr="00526C11" w:rsidRDefault="00526C11" w:rsidP="00526C11">
            <w:pPr>
              <w:spacing w:line="240" w:lineRule="auto"/>
              <w:contextualSpacing/>
              <w:rPr>
                <w:color w:val="000000"/>
                <w:sz w:val="20"/>
                <w:szCs w:val="20"/>
              </w:rPr>
            </w:pPr>
            <w:r w:rsidRPr="00526C11">
              <w:rPr>
                <w:color w:val="000000"/>
                <w:sz w:val="20"/>
                <w:szCs w:val="20"/>
              </w:rPr>
              <w:t>Spišská Nová Ves</w:t>
            </w:r>
          </w:p>
          <w:p w:rsidR="00526C11" w:rsidRPr="00526C11" w:rsidRDefault="00526C11" w:rsidP="00526C11">
            <w:pPr>
              <w:spacing w:line="240" w:lineRule="auto"/>
              <w:contextualSpacing/>
              <w:rPr>
                <w:color w:val="000000"/>
                <w:sz w:val="20"/>
                <w:szCs w:val="20"/>
              </w:rPr>
            </w:pPr>
            <w:r w:rsidRPr="00526C11">
              <w:rPr>
                <w:color w:val="000000"/>
                <w:sz w:val="20"/>
                <w:szCs w:val="20"/>
              </w:rPr>
              <w:t>Trebišov</w:t>
            </w:r>
          </w:p>
          <w:p w:rsidR="00526C11" w:rsidRPr="00526C11" w:rsidRDefault="00526C11" w:rsidP="00526C11">
            <w:pPr>
              <w:spacing w:line="240" w:lineRule="auto"/>
              <w:contextualSpacing/>
              <w:rPr>
                <w:color w:val="000000"/>
                <w:sz w:val="20"/>
                <w:szCs w:val="20"/>
              </w:rPr>
            </w:pPr>
            <w:r w:rsidRPr="00526C11">
              <w:rPr>
                <w:color w:val="000000"/>
                <w:sz w:val="20"/>
                <w:szCs w:val="20"/>
              </w:rPr>
              <w:t>Košice</w:t>
            </w:r>
          </w:p>
          <w:p w:rsidR="00526C11" w:rsidRPr="00526C11" w:rsidRDefault="00526C11" w:rsidP="00526C11">
            <w:pPr>
              <w:spacing w:line="240" w:lineRule="auto"/>
              <w:contextualSpacing/>
              <w:rPr>
                <w:color w:val="000000"/>
                <w:sz w:val="20"/>
                <w:szCs w:val="20"/>
              </w:rPr>
            </w:pPr>
            <w:r w:rsidRPr="00526C11">
              <w:rPr>
                <w:color w:val="000000"/>
                <w:sz w:val="20"/>
                <w:szCs w:val="20"/>
              </w:rPr>
              <w:t>Košice - okolie</w:t>
            </w:r>
          </w:p>
          <w:p w:rsidR="00526C11" w:rsidRPr="00526C11" w:rsidRDefault="00526C11" w:rsidP="00526C11">
            <w:pPr>
              <w:spacing w:line="240" w:lineRule="auto"/>
              <w:contextualSpacing/>
              <w:rPr>
                <w:color w:val="000000"/>
                <w:sz w:val="20"/>
                <w:szCs w:val="20"/>
              </w:rPr>
            </w:pPr>
            <w:r w:rsidRPr="00526C11">
              <w:rPr>
                <w:color w:val="000000"/>
                <w:sz w:val="20"/>
                <w:szCs w:val="20"/>
              </w:rPr>
              <w:t>Michalovce</w:t>
            </w:r>
          </w:p>
          <w:p w:rsidR="00526C11" w:rsidRPr="00526C11" w:rsidRDefault="00526C11" w:rsidP="00526C11">
            <w:pPr>
              <w:spacing w:line="240" w:lineRule="auto"/>
              <w:contextualSpacing/>
              <w:rPr>
                <w:color w:val="000000"/>
                <w:sz w:val="20"/>
                <w:szCs w:val="20"/>
              </w:rPr>
            </w:pPr>
            <w:r w:rsidRPr="00526C11">
              <w:rPr>
                <w:color w:val="000000"/>
                <w:sz w:val="20"/>
                <w:szCs w:val="20"/>
              </w:rPr>
              <w:t>Rožňava</w:t>
            </w:r>
          </w:p>
        </w:tc>
      </w:tr>
    </w:tbl>
    <w:p w:rsidR="00526C11" w:rsidRPr="00141748" w:rsidRDefault="00757024" w:rsidP="00526C11">
      <w:pPr>
        <w:pStyle w:val="Pta"/>
        <w:tabs>
          <w:tab w:val="clear" w:pos="4536"/>
          <w:tab w:val="clear" w:pos="9072"/>
        </w:tabs>
        <w:spacing w:line="240" w:lineRule="auto"/>
        <w:jc w:val="left"/>
      </w:pPr>
      <w:r>
        <w:t xml:space="preserve">                                                                                                  </w:t>
      </w:r>
      <w:r w:rsidR="00526C11">
        <w:t>Zdroj: Vlastné spracovanie</w:t>
      </w:r>
    </w:p>
    <w:p w:rsidR="00526C11" w:rsidRPr="00344365" w:rsidRDefault="00526C11" w:rsidP="00526C11">
      <w:pPr>
        <w:pStyle w:val="Pta"/>
        <w:tabs>
          <w:tab w:val="clear" w:pos="4536"/>
          <w:tab w:val="clear" w:pos="9072"/>
        </w:tabs>
      </w:pPr>
    </w:p>
    <w:p w:rsidR="00526C11" w:rsidRPr="00344365" w:rsidRDefault="00526C11" w:rsidP="00526C11">
      <w:pPr>
        <w:contextualSpacing/>
        <w:jc w:val="left"/>
        <w:rPr>
          <w:b/>
        </w:rPr>
      </w:pPr>
      <w:r w:rsidRPr="00344365">
        <w:rPr>
          <w:b/>
        </w:rPr>
        <w:lastRenderedPageBreak/>
        <w:t>Príloha 4 Správne poplatky na úseku živnostenského podnikania (položka 148 prílohy zákona č. 145/1995 Z.z. o správnych poplatkoch)</w:t>
      </w:r>
    </w:p>
    <w:p w:rsidR="00526C11" w:rsidRDefault="00526C11" w:rsidP="00526C11">
      <w:pPr>
        <w:contextualSpacing/>
      </w:pPr>
    </w:p>
    <w:tbl>
      <w:tblPr>
        <w:tblW w:w="0" w:type="auto"/>
        <w:tblBorders>
          <w:top w:val="single" w:sz="18" w:space="0" w:color="000000"/>
          <w:left w:val="single" w:sz="18" w:space="0" w:color="000000"/>
          <w:bottom w:val="single" w:sz="18" w:space="0" w:color="000000"/>
          <w:right w:val="single" w:sz="18" w:space="0" w:color="000000"/>
          <w:insideH w:val="single" w:sz="4" w:space="0" w:color="000000"/>
          <w:insideV w:val="single" w:sz="4" w:space="0" w:color="000000"/>
        </w:tblBorders>
        <w:tblLook w:val="04A0"/>
      </w:tblPr>
      <w:tblGrid>
        <w:gridCol w:w="4772"/>
        <w:gridCol w:w="1857"/>
      </w:tblGrid>
      <w:tr w:rsidR="00526C11" w:rsidRPr="00433262" w:rsidTr="00136606">
        <w:tc>
          <w:tcPr>
            <w:tcW w:w="4772" w:type="dxa"/>
            <w:tcBorders>
              <w:top w:val="single" w:sz="18" w:space="0" w:color="000000"/>
              <w:bottom w:val="single" w:sz="18" w:space="0" w:color="000000"/>
            </w:tcBorders>
            <w:vAlign w:val="center"/>
          </w:tcPr>
          <w:p w:rsidR="00526C11" w:rsidRPr="00526C11" w:rsidRDefault="00526C11" w:rsidP="00526C11">
            <w:pPr>
              <w:spacing w:line="240" w:lineRule="auto"/>
              <w:contextualSpacing/>
              <w:jc w:val="center"/>
              <w:rPr>
                <w:b/>
                <w:sz w:val="20"/>
                <w:szCs w:val="20"/>
              </w:rPr>
            </w:pPr>
            <w:r w:rsidRPr="00526C11">
              <w:rPr>
                <w:b/>
                <w:sz w:val="20"/>
                <w:szCs w:val="20"/>
              </w:rPr>
              <w:t>Správne poplatky</w:t>
            </w:r>
          </w:p>
        </w:tc>
        <w:tc>
          <w:tcPr>
            <w:tcW w:w="1857" w:type="dxa"/>
            <w:tcBorders>
              <w:top w:val="single" w:sz="18" w:space="0" w:color="000000"/>
              <w:bottom w:val="single" w:sz="18" w:space="0" w:color="000000"/>
            </w:tcBorders>
            <w:vAlign w:val="center"/>
          </w:tcPr>
          <w:p w:rsidR="00526C11" w:rsidRPr="00526C11" w:rsidRDefault="00526C11" w:rsidP="00526C11">
            <w:pPr>
              <w:spacing w:line="240" w:lineRule="auto"/>
              <w:contextualSpacing/>
              <w:jc w:val="center"/>
              <w:rPr>
                <w:b/>
                <w:sz w:val="20"/>
                <w:szCs w:val="20"/>
              </w:rPr>
            </w:pPr>
            <w:r w:rsidRPr="00526C11">
              <w:rPr>
                <w:b/>
                <w:sz w:val="20"/>
                <w:szCs w:val="20"/>
              </w:rPr>
              <w:t>Cena v EUR (€)</w:t>
            </w:r>
          </w:p>
        </w:tc>
      </w:tr>
      <w:tr w:rsidR="00526C11" w:rsidRPr="00433262" w:rsidTr="00136606">
        <w:tc>
          <w:tcPr>
            <w:tcW w:w="4772" w:type="dxa"/>
            <w:tcBorders>
              <w:top w:val="single" w:sz="18" w:space="0" w:color="000000"/>
            </w:tcBorders>
            <w:vAlign w:val="center"/>
          </w:tcPr>
          <w:p w:rsidR="00526C11" w:rsidRPr="00526C11" w:rsidRDefault="00526C11" w:rsidP="00526C11">
            <w:pPr>
              <w:spacing w:line="240" w:lineRule="auto"/>
              <w:contextualSpacing/>
              <w:rPr>
                <w:sz w:val="20"/>
                <w:szCs w:val="20"/>
              </w:rPr>
            </w:pPr>
            <w:r w:rsidRPr="00526C11">
              <w:rPr>
                <w:sz w:val="20"/>
                <w:szCs w:val="20"/>
              </w:rPr>
              <w:t>Vydanie živnostenského listu:</w:t>
            </w:r>
          </w:p>
        </w:tc>
        <w:tc>
          <w:tcPr>
            <w:tcW w:w="1857" w:type="dxa"/>
            <w:tcBorders>
              <w:top w:val="single" w:sz="18" w:space="0" w:color="000000"/>
            </w:tcBorders>
            <w:vAlign w:val="center"/>
          </w:tcPr>
          <w:p w:rsidR="00526C11" w:rsidRPr="00526C11" w:rsidRDefault="00526C11" w:rsidP="00526C11">
            <w:pPr>
              <w:spacing w:line="240" w:lineRule="auto"/>
              <w:contextualSpacing/>
              <w:jc w:val="right"/>
              <w:rPr>
                <w:sz w:val="20"/>
                <w:szCs w:val="20"/>
              </w:rPr>
            </w:pPr>
          </w:p>
        </w:tc>
      </w:tr>
      <w:tr w:rsidR="00526C11" w:rsidRPr="00433262" w:rsidTr="00136606">
        <w:tc>
          <w:tcPr>
            <w:tcW w:w="4772" w:type="dxa"/>
            <w:vAlign w:val="center"/>
          </w:tcPr>
          <w:p w:rsidR="00526C11" w:rsidRPr="00526C11" w:rsidRDefault="00526C11" w:rsidP="00B560E4">
            <w:pPr>
              <w:numPr>
                <w:ilvl w:val="0"/>
                <w:numId w:val="75"/>
              </w:numPr>
              <w:spacing w:before="0" w:line="240" w:lineRule="auto"/>
              <w:contextualSpacing/>
              <w:jc w:val="left"/>
              <w:rPr>
                <w:sz w:val="20"/>
                <w:szCs w:val="20"/>
              </w:rPr>
            </w:pPr>
            <w:r w:rsidRPr="00526C11">
              <w:rPr>
                <w:sz w:val="20"/>
                <w:szCs w:val="20"/>
              </w:rPr>
              <w:t>na voľnú živnosť</w:t>
            </w:r>
          </w:p>
        </w:tc>
        <w:tc>
          <w:tcPr>
            <w:tcW w:w="1857" w:type="dxa"/>
            <w:vAlign w:val="center"/>
          </w:tcPr>
          <w:p w:rsidR="00526C11" w:rsidRPr="00526C11" w:rsidRDefault="00526C11" w:rsidP="00526C11">
            <w:pPr>
              <w:spacing w:line="240" w:lineRule="auto"/>
              <w:contextualSpacing/>
              <w:jc w:val="right"/>
              <w:rPr>
                <w:sz w:val="20"/>
                <w:szCs w:val="20"/>
              </w:rPr>
            </w:pPr>
            <w:r w:rsidRPr="00526C11">
              <w:rPr>
                <w:sz w:val="20"/>
                <w:szCs w:val="20"/>
              </w:rPr>
              <w:t>3 €</w:t>
            </w:r>
          </w:p>
        </w:tc>
      </w:tr>
      <w:tr w:rsidR="00526C11" w:rsidRPr="00433262" w:rsidTr="00136606">
        <w:tc>
          <w:tcPr>
            <w:tcW w:w="4772" w:type="dxa"/>
            <w:vAlign w:val="center"/>
          </w:tcPr>
          <w:p w:rsidR="00526C11" w:rsidRPr="00526C11" w:rsidRDefault="00526C11" w:rsidP="00B560E4">
            <w:pPr>
              <w:numPr>
                <w:ilvl w:val="0"/>
                <w:numId w:val="75"/>
              </w:numPr>
              <w:spacing w:before="0" w:line="240" w:lineRule="auto"/>
              <w:contextualSpacing/>
              <w:jc w:val="left"/>
              <w:rPr>
                <w:sz w:val="20"/>
                <w:szCs w:val="20"/>
              </w:rPr>
            </w:pPr>
            <w:r w:rsidRPr="00526C11">
              <w:rPr>
                <w:sz w:val="20"/>
                <w:szCs w:val="20"/>
              </w:rPr>
              <w:t>na remeselnú živnosť alebo viazanú živnosť</w:t>
            </w:r>
          </w:p>
        </w:tc>
        <w:tc>
          <w:tcPr>
            <w:tcW w:w="1857" w:type="dxa"/>
            <w:vAlign w:val="center"/>
          </w:tcPr>
          <w:p w:rsidR="00526C11" w:rsidRPr="00526C11" w:rsidRDefault="00526C11" w:rsidP="00526C11">
            <w:pPr>
              <w:spacing w:line="240" w:lineRule="auto"/>
              <w:contextualSpacing/>
              <w:jc w:val="right"/>
              <w:rPr>
                <w:sz w:val="20"/>
                <w:szCs w:val="20"/>
              </w:rPr>
            </w:pPr>
            <w:r w:rsidRPr="00526C11">
              <w:rPr>
                <w:sz w:val="20"/>
                <w:szCs w:val="20"/>
              </w:rPr>
              <w:t>16,5 €</w:t>
            </w:r>
          </w:p>
        </w:tc>
      </w:tr>
      <w:tr w:rsidR="00526C11" w:rsidRPr="00433262" w:rsidTr="00136606">
        <w:tc>
          <w:tcPr>
            <w:tcW w:w="4772" w:type="dxa"/>
            <w:vAlign w:val="center"/>
          </w:tcPr>
          <w:p w:rsidR="00526C11" w:rsidRPr="00526C11" w:rsidRDefault="00526C11" w:rsidP="00526C11">
            <w:pPr>
              <w:spacing w:line="240" w:lineRule="auto"/>
              <w:contextualSpacing/>
              <w:rPr>
                <w:sz w:val="20"/>
                <w:szCs w:val="20"/>
              </w:rPr>
            </w:pPr>
            <w:r w:rsidRPr="00526C11">
              <w:rPr>
                <w:sz w:val="20"/>
                <w:szCs w:val="20"/>
              </w:rPr>
              <w:t>Vydanie koncesnej listiny</w:t>
            </w:r>
          </w:p>
        </w:tc>
        <w:tc>
          <w:tcPr>
            <w:tcW w:w="1857" w:type="dxa"/>
            <w:vAlign w:val="center"/>
          </w:tcPr>
          <w:p w:rsidR="00526C11" w:rsidRPr="00526C11" w:rsidRDefault="00526C11" w:rsidP="00526C11">
            <w:pPr>
              <w:spacing w:line="240" w:lineRule="auto"/>
              <w:contextualSpacing/>
              <w:jc w:val="right"/>
              <w:rPr>
                <w:sz w:val="20"/>
                <w:szCs w:val="20"/>
              </w:rPr>
            </w:pPr>
            <w:r w:rsidRPr="00526C11">
              <w:rPr>
                <w:sz w:val="20"/>
                <w:szCs w:val="20"/>
              </w:rPr>
              <w:t>33 €</w:t>
            </w:r>
          </w:p>
        </w:tc>
      </w:tr>
      <w:tr w:rsidR="00526C11" w:rsidRPr="00433262" w:rsidTr="00136606">
        <w:tc>
          <w:tcPr>
            <w:tcW w:w="4772" w:type="dxa"/>
            <w:vAlign w:val="center"/>
          </w:tcPr>
          <w:p w:rsidR="00526C11" w:rsidRPr="00526C11" w:rsidRDefault="00526C11" w:rsidP="00526C11">
            <w:pPr>
              <w:spacing w:line="240" w:lineRule="auto"/>
              <w:contextualSpacing/>
              <w:rPr>
                <w:sz w:val="20"/>
                <w:szCs w:val="20"/>
              </w:rPr>
            </w:pPr>
            <w:r w:rsidRPr="00526C11">
              <w:rPr>
                <w:sz w:val="20"/>
                <w:szCs w:val="20"/>
              </w:rPr>
              <w:t>Výpis zo živnostenského registra za jedného podnikateľa</w:t>
            </w:r>
          </w:p>
        </w:tc>
        <w:tc>
          <w:tcPr>
            <w:tcW w:w="1857" w:type="dxa"/>
            <w:vAlign w:val="center"/>
          </w:tcPr>
          <w:p w:rsidR="00526C11" w:rsidRPr="00526C11" w:rsidRDefault="00526C11" w:rsidP="00526C11">
            <w:pPr>
              <w:spacing w:line="240" w:lineRule="auto"/>
              <w:contextualSpacing/>
              <w:jc w:val="right"/>
              <w:rPr>
                <w:sz w:val="20"/>
                <w:szCs w:val="20"/>
              </w:rPr>
            </w:pPr>
            <w:r w:rsidRPr="00526C11">
              <w:rPr>
                <w:sz w:val="20"/>
                <w:szCs w:val="20"/>
              </w:rPr>
              <w:t>3 €</w:t>
            </w:r>
          </w:p>
        </w:tc>
      </w:tr>
      <w:tr w:rsidR="00526C11" w:rsidRPr="00433262" w:rsidTr="00136606">
        <w:tc>
          <w:tcPr>
            <w:tcW w:w="4772" w:type="dxa"/>
            <w:vAlign w:val="center"/>
          </w:tcPr>
          <w:p w:rsidR="00526C11" w:rsidRPr="00526C11" w:rsidRDefault="00526C11" w:rsidP="00526C11">
            <w:pPr>
              <w:spacing w:line="240" w:lineRule="auto"/>
              <w:contextualSpacing/>
              <w:rPr>
                <w:sz w:val="20"/>
                <w:szCs w:val="20"/>
              </w:rPr>
            </w:pPr>
            <w:r w:rsidRPr="00526C11">
              <w:rPr>
                <w:sz w:val="20"/>
                <w:szCs w:val="20"/>
              </w:rPr>
              <w:t>Vydanie náhradného živnostenského listu alebo koncesnej listiny náhradou za stratený,   zničený, poškodený alebo odcudzený živnostenský list alebo koncesnú listinu</w:t>
            </w:r>
          </w:p>
        </w:tc>
        <w:tc>
          <w:tcPr>
            <w:tcW w:w="1857" w:type="dxa"/>
            <w:vAlign w:val="center"/>
          </w:tcPr>
          <w:p w:rsidR="00526C11" w:rsidRPr="00526C11" w:rsidRDefault="00526C11" w:rsidP="00526C11">
            <w:pPr>
              <w:spacing w:line="240" w:lineRule="auto"/>
              <w:contextualSpacing/>
              <w:jc w:val="right"/>
              <w:rPr>
                <w:sz w:val="20"/>
                <w:szCs w:val="20"/>
              </w:rPr>
            </w:pPr>
            <w:r w:rsidRPr="00526C11">
              <w:rPr>
                <w:sz w:val="20"/>
                <w:szCs w:val="20"/>
              </w:rPr>
              <w:t>3 €</w:t>
            </w:r>
          </w:p>
        </w:tc>
      </w:tr>
      <w:tr w:rsidR="00526C11" w:rsidRPr="00433262" w:rsidTr="00136606">
        <w:tc>
          <w:tcPr>
            <w:tcW w:w="4772" w:type="dxa"/>
            <w:vAlign w:val="center"/>
          </w:tcPr>
          <w:p w:rsidR="00526C11" w:rsidRPr="00526C11" w:rsidRDefault="00526C11" w:rsidP="00526C11">
            <w:pPr>
              <w:spacing w:line="240" w:lineRule="auto"/>
              <w:contextualSpacing/>
              <w:rPr>
                <w:sz w:val="20"/>
                <w:szCs w:val="20"/>
              </w:rPr>
            </w:pPr>
            <w:r w:rsidRPr="00526C11">
              <w:rPr>
                <w:sz w:val="20"/>
                <w:szCs w:val="20"/>
              </w:rPr>
              <w:t>Vydanie povolenia na vykonávanie funkcie zodpovedného zástupcu vo viac ako jednej   prevádzkarni</w:t>
            </w:r>
          </w:p>
        </w:tc>
        <w:tc>
          <w:tcPr>
            <w:tcW w:w="1857" w:type="dxa"/>
            <w:vAlign w:val="center"/>
          </w:tcPr>
          <w:p w:rsidR="00526C11" w:rsidRPr="00526C11" w:rsidRDefault="00526C11" w:rsidP="00526C11">
            <w:pPr>
              <w:spacing w:line="240" w:lineRule="auto"/>
              <w:contextualSpacing/>
              <w:jc w:val="right"/>
              <w:rPr>
                <w:sz w:val="20"/>
                <w:szCs w:val="20"/>
              </w:rPr>
            </w:pPr>
            <w:r w:rsidRPr="00526C11">
              <w:rPr>
                <w:sz w:val="20"/>
                <w:szCs w:val="20"/>
              </w:rPr>
              <w:t>6,5 €</w:t>
            </w:r>
          </w:p>
        </w:tc>
      </w:tr>
      <w:tr w:rsidR="00526C11" w:rsidRPr="00433262" w:rsidTr="00136606">
        <w:tc>
          <w:tcPr>
            <w:tcW w:w="4772" w:type="dxa"/>
            <w:vAlign w:val="center"/>
          </w:tcPr>
          <w:p w:rsidR="00526C11" w:rsidRPr="00526C11" w:rsidRDefault="00526C11" w:rsidP="00526C11">
            <w:pPr>
              <w:spacing w:line="240" w:lineRule="auto"/>
              <w:contextualSpacing/>
              <w:rPr>
                <w:sz w:val="20"/>
                <w:szCs w:val="20"/>
              </w:rPr>
            </w:pPr>
            <w:r w:rsidRPr="00526C11">
              <w:rPr>
                <w:sz w:val="20"/>
                <w:szCs w:val="20"/>
              </w:rPr>
              <w:t>Za vykonanie zmien v živnostenskom liste a zmien v koncesnej listine</w:t>
            </w:r>
          </w:p>
        </w:tc>
        <w:tc>
          <w:tcPr>
            <w:tcW w:w="1857" w:type="dxa"/>
            <w:vAlign w:val="center"/>
          </w:tcPr>
          <w:p w:rsidR="00526C11" w:rsidRPr="00526C11" w:rsidRDefault="00526C11" w:rsidP="00526C11">
            <w:pPr>
              <w:spacing w:line="240" w:lineRule="auto"/>
              <w:contextualSpacing/>
              <w:jc w:val="right"/>
              <w:rPr>
                <w:sz w:val="20"/>
                <w:szCs w:val="20"/>
              </w:rPr>
            </w:pPr>
            <w:r w:rsidRPr="00526C11">
              <w:rPr>
                <w:sz w:val="20"/>
                <w:szCs w:val="20"/>
              </w:rPr>
              <w:t>3 €</w:t>
            </w:r>
          </w:p>
        </w:tc>
      </w:tr>
      <w:tr w:rsidR="00526C11" w:rsidRPr="00433262" w:rsidTr="00136606">
        <w:tc>
          <w:tcPr>
            <w:tcW w:w="4772" w:type="dxa"/>
            <w:vAlign w:val="center"/>
          </w:tcPr>
          <w:p w:rsidR="00526C11" w:rsidRPr="00526C11" w:rsidRDefault="00526C11" w:rsidP="00526C11">
            <w:pPr>
              <w:spacing w:line="240" w:lineRule="auto"/>
              <w:contextualSpacing/>
              <w:rPr>
                <w:sz w:val="20"/>
                <w:szCs w:val="20"/>
              </w:rPr>
            </w:pPr>
            <w:r w:rsidRPr="00526C11">
              <w:rPr>
                <w:sz w:val="20"/>
                <w:szCs w:val="20"/>
              </w:rPr>
              <w:t>Vydanie rozhodnutia o zrušení živnostenského oprávnenia na jednu alebo viac živností</w:t>
            </w:r>
          </w:p>
        </w:tc>
        <w:tc>
          <w:tcPr>
            <w:tcW w:w="1857" w:type="dxa"/>
            <w:vAlign w:val="center"/>
          </w:tcPr>
          <w:p w:rsidR="00526C11" w:rsidRPr="00526C11" w:rsidRDefault="00526C11" w:rsidP="00526C11">
            <w:pPr>
              <w:spacing w:line="240" w:lineRule="auto"/>
              <w:contextualSpacing/>
              <w:jc w:val="right"/>
              <w:rPr>
                <w:sz w:val="20"/>
                <w:szCs w:val="20"/>
              </w:rPr>
            </w:pPr>
            <w:r w:rsidRPr="00526C11">
              <w:rPr>
                <w:sz w:val="20"/>
                <w:szCs w:val="20"/>
              </w:rPr>
              <w:t>4,5 €</w:t>
            </w:r>
          </w:p>
        </w:tc>
      </w:tr>
      <w:tr w:rsidR="00526C11" w:rsidRPr="00433262" w:rsidTr="00136606">
        <w:tc>
          <w:tcPr>
            <w:tcW w:w="4772" w:type="dxa"/>
            <w:vAlign w:val="center"/>
          </w:tcPr>
          <w:p w:rsidR="00526C11" w:rsidRPr="00526C11" w:rsidRDefault="00526C11" w:rsidP="00526C11">
            <w:pPr>
              <w:spacing w:line="240" w:lineRule="auto"/>
              <w:contextualSpacing/>
              <w:rPr>
                <w:sz w:val="20"/>
                <w:szCs w:val="20"/>
              </w:rPr>
            </w:pPr>
            <w:r w:rsidRPr="00526C11">
              <w:rPr>
                <w:sz w:val="20"/>
                <w:szCs w:val="20"/>
              </w:rPr>
              <w:t>Pozastavenie prevádzkovania živnosti alebo zmena pozastavenia prevádzkovania živnosti</w:t>
            </w:r>
          </w:p>
        </w:tc>
        <w:tc>
          <w:tcPr>
            <w:tcW w:w="1857" w:type="dxa"/>
            <w:vAlign w:val="center"/>
          </w:tcPr>
          <w:p w:rsidR="00526C11" w:rsidRPr="00526C11" w:rsidRDefault="00526C11" w:rsidP="00526C11">
            <w:pPr>
              <w:spacing w:line="240" w:lineRule="auto"/>
              <w:contextualSpacing/>
              <w:jc w:val="right"/>
              <w:rPr>
                <w:sz w:val="20"/>
                <w:szCs w:val="20"/>
              </w:rPr>
            </w:pPr>
            <w:r w:rsidRPr="00526C11">
              <w:rPr>
                <w:sz w:val="20"/>
                <w:szCs w:val="20"/>
              </w:rPr>
              <w:t>6,5 €</w:t>
            </w:r>
          </w:p>
        </w:tc>
      </w:tr>
      <w:tr w:rsidR="00526C11" w:rsidRPr="00433262" w:rsidTr="00136606">
        <w:tc>
          <w:tcPr>
            <w:tcW w:w="4772" w:type="dxa"/>
            <w:vAlign w:val="center"/>
          </w:tcPr>
          <w:p w:rsidR="00526C11" w:rsidRPr="00526C11" w:rsidRDefault="00526C11" w:rsidP="00526C11">
            <w:pPr>
              <w:spacing w:line="240" w:lineRule="auto"/>
              <w:contextualSpacing/>
              <w:rPr>
                <w:sz w:val="20"/>
                <w:szCs w:val="20"/>
              </w:rPr>
            </w:pPr>
            <w:r w:rsidRPr="00526C11">
              <w:rPr>
                <w:sz w:val="20"/>
                <w:szCs w:val="20"/>
              </w:rPr>
              <w:t>Vydanie osvedčenia o vykonaní kvalifikačnej skúšky pred skúšobnou komisiou podľa osobitného predpisu 33)</w:t>
            </w:r>
          </w:p>
        </w:tc>
        <w:tc>
          <w:tcPr>
            <w:tcW w:w="1857" w:type="dxa"/>
            <w:vAlign w:val="center"/>
          </w:tcPr>
          <w:p w:rsidR="00526C11" w:rsidRPr="00526C11" w:rsidRDefault="00526C11" w:rsidP="00526C11">
            <w:pPr>
              <w:spacing w:line="240" w:lineRule="auto"/>
              <w:contextualSpacing/>
              <w:jc w:val="right"/>
              <w:rPr>
                <w:sz w:val="20"/>
                <w:szCs w:val="20"/>
              </w:rPr>
            </w:pPr>
            <w:r w:rsidRPr="00526C11">
              <w:rPr>
                <w:sz w:val="20"/>
                <w:szCs w:val="20"/>
              </w:rPr>
              <w:t>6,5 €</w:t>
            </w:r>
          </w:p>
        </w:tc>
      </w:tr>
      <w:tr w:rsidR="00526C11" w:rsidRPr="00433262" w:rsidTr="00136606">
        <w:tc>
          <w:tcPr>
            <w:tcW w:w="4772" w:type="dxa"/>
            <w:vAlign w:val="center"/>
          </w:tcPr>
          <w:p w:rsidR="00526C11" w:rsidRPr="00526C11" w:rsidRDefault="00526C11" w:rsidP="00526C11">
            <w:pPr>
              <w:spacing w:line="240" w:lineRule="auto"/>
              <w:contextualSpacing/>
              <w:rPr>
                <w:sz w:val="20"/>
                <w:szCs w:val="20"/>
              </w:rPr>
            </w:pPr>
            <w:r w:rsidRPr="00526C11">
              <w:rPr>
                <w:sz w:val="20"/>
                <w:szCs w:val="20"/>
              </w:rPr>
              <w:t>Vydanie osvedčenia o splnení podmienok odbornej praxe</w:t>
            </w:r>
          </w:p>
        </w:tc>
        <w:tc>
          <w:tcPr>
            <w:tcW w:w="1857" w:type="dxa"/>
            <w:vAlign w:val="center"/>
          </w:tcPr>
          <w:p w:rsidR="00526C11" w:rsidRPr="00526C11" w:rsidRDefault="00526C11" w:rsidP="00526C11">
            <w:pPr>
              <w:spacing w:line="240" w:lineRule="auto"/>
              <w:contextualSpacing/>
              <w:jc w:val="right"/>
              <w:rPr>
                <w:sz w:val="20"/>
                <w:szCs w:val="20"/>
              </w:rPr>
            </w:pPr>
            <w:r w:rsidRPr="00526C11">
              <w:rPr>
                <w:sz w:val="20"/>
                <w:szCs w:val="20"/>
              </w:rPr>
              <w:t>6,5 €</w:t>
            </w:r>
          </w:p>
        </w:tc>
      </w:tr>
      <w:tr w:rsidR="00526C11" w:rsidRPr="00433262" w:rsidTr="00136606">
        <w:tc>
          <w:tcPr>
            <w:tcW w:w="4772" w:type="dxa"/>
            <w:vAlign w:val="center"/>
          </w:tcPr>
          <w:p w:rsidR="00526C11" w:rsidRPr="00526C11" w:rsidRDefault="00526C11" w:rsidP="00526C11">
            <w:pPr>
              <w:spacing w:line="240" w:lineRule="auto"/>
              <w:contextualSpacing/>
              <w:rPr>
                <w:sz w:val="20"/>
                <w:szCs w:val="20"/>
              </w:rPr>
            </w:pPr>
            <w:r w:rsidRPr="00526C11">
              <w:rPr>
                <w:sz w:val="20"/>
                <w:szCs w:val="20"/>
              </w:rPr>
              <w:t>Vydanie rozhodnutia o uznaní odbornej praxe</w:t>
            </w:r>
          </w:p>
        </w:tc>
        <w:tc>
          <w:tcPr>
            <w:tcW w:w="1857" w:type="dxa"/>
            <w:vAlign w:val="center"/>
          </w:tcPr>
          <w:p w:rsidR="00526C11" w:rsidRPr="00526C11" w:rsidRDefault="00526C11" w:rsidP="00526C11">
            <w:pPr>
              <w:spacing w:line="240" w:lineRule="auto"/>
              <w:contextualSpacing/>
              <w:jc w:val="right"/>
              <w:rPr>
                <w:sz w:val="20"/>
                <w:szCs w:val="20"/>
              </w:rPr>
            </w:pPr>
            <w:r w:rsidRPr="00526C11">
              <w:rPr>
                <w:sz w:val="20"/>
                <w:szCs w:val="20"/>
              </w:rPr>
              <w:t>16,5 €</w:t>
            </w:r>
          </w:p>
        </w:tc>
      </w:tr>
      <w:tr w:rsidR="00526C11" w:rsidRPr="00433262" w:rsidTr="00136606">
        <w:tc>
          <w:tcPr>
            <w:tcW w:w="4772" w:type="dxa"/>
            <w:vAlign w:val="center"/>
          </w:tcPr>
          <w:p w:rsidR="00526C11" w:rsidRPr="00526C11" w:rsidRDefault="00526C11" w:rsidP="00526C11">
            <w:pPr>
              <w:spacing w:line="240" w:lineRule="auto"/>
              <w:contextualSpacing/>
              <w:rPr>
                <w:sz w:val="20"/>
                <w:szCs w:val="20"/>
              </w:rPr>
            </w:pPr>
            <w:r w:rsidRPr="00526C11">
              <w:rPr>
                <w:sz w:val="20"/>
                <w:szCs w:val="20"/>
              </w:rPr>
              <w:t>Vydanie rozhodnutia o uznaní odbornej kvalifikácie občana členského štátu Európskej únie alebo štátu, ktorý je zmluvnou stranou dohody o Európskom hospodárskom priestore, a Švajčiarskej konfederácie na účely prevádzkovania živnosti v Slovenskej republike</w:t>
            </w:r>
          </w:p>
        </w:tc>
        <w:tc>
          <w:tcPr>
            <w:tcW w:w="1857" w:type="dxa"/>
            <w:vAlign w:val="center"/>
          </w:tcPr>
          <w:p w:rsidR="00526C11" w:rsidRPr="00526C11" w:rsidRDefault="00526C11" w:rsidP="00526C11">
            <w:pPr>
              <w:spacing w:line="240" w:lineRule="auto"/>
              <w:contextualSpacing/>
              <w:jc w:val="right"/>
              <w:rPr>
                <w:sz w:val="20"/>
                <w:szCs w:val="20"/>
              </w:rPr>
            </w:pPr>
            <w:r w:rsidRPr="00526C11">
              <w:rPr>
                <w:sz w:val="20"/>
                <w:szCs w:val="20"/>
              </w:rPr>
              <w:t>99,5 €</w:t>
            </w:r>
          </w:p>
        </w:tc>
      </w:tr>
      <w:tr w:rsidR="00526C11" w:rsidRPr="00433262" w:rsidTr="00136606">
        <w:tc>
          <w:tcPr>
            <w:tcW w:w="4772" w:type="dxa"/>
            <w:vAlign w:val="center"/>
          </w:tcPr>
          <w:p w:rsidR="00526C11" w:rsidRPr="00526C11" w:rsidRDefault="00526C11" w:rsidP="00526C11">
            <w:pPr>
              <w:spacing w:line="240" w:lineRule="auto"/>
              <w:contextualSpacing/>
              <w:rPr>
                <w:sz w:val="20"/>
                <w:szCs w:val="20"/>
              </w:rPr>
            </w:pPr>
            <w:r w:rsidRPr="00526C11">
              <w:rPr>
                <w:sz w:val="20"/>
                <w:szCs w:val="20"/>
              </w:rPr>
              <w:t>Vydanie potvrdenia o tom, že v živnostenskom registri nie je zápis</w:t>
            </w:r>
          </w:p>
        </w:tc>
        <w:tc>
          <w:tcPr>
            <w:tcW w:w="1857" w:type="dxa"/>
            <w:vAlign w:val="center"/>
          </w:tcPr>
          <w:p w:rsidR="00526C11" w:rsidRPr="00526C11" w:rsidRDefault="00526C11" w:rsidP="00526C11">
            <w:pPr>
              <w:spacing w:line="240" w:lineRule="auto"/>
              <w:contextualSpacing/>
              <w:jc w:val="right"/>
              <w:rPr>
                <w:sz w:val="20"/>
                <w:szCs w:val="20"/>
              </w:rPr>
            </w:pPr>
            <w:r w:rsidRPr="00526C11">
              <w:rPr>
                <w:sz w:val="20"/>
                <w:szCs w:val="20"/>
              </w:rPr>
              <w:t>3 €</w:t>
            </w:r>
          </w:p>
        </w:tc>
      </w:tr>
    </w:tbl>
    <w:p w:rsidR="00526C11" w:rsidRPr="00344365" w:rsidRDefault="00526C11" w:rsidP="00526C11">
      <w:pPr>
        <w:contextualSpacing/>
      </w:pPr>
      <w:r>
        <w:t xml:space="preserve">                                                                                      Zdroj: MV SR</w:t>
      </w:r>
      <w:r w:rsidRPr="00344365">
        <w:t xml:space="preserve"> </w:t>
      </w:r>
    </w:p>
    <w:p w:rsidR="00526C11" w:rsidRPr="008977F4" w:rsidRDefault="00526C11" w:rsidP="00526C11">
      <w:pPr>
        <w:contextualSpacing/>
        <w:rPr>
          <w:u w:val="single"/>
        </w:rPr>
      </w:pPr>
      <w:r w:rsidRPr="008977F4">
        <w:rPr>
          <w:u w:val="single"/>
        </w:rPr>
        <w:t xml:space="preserve">Poznámky </w:t>
      </w:r>
    </w:p>
    <w:p w:rsidR="00526C11" w:rsidRPr="00344365" w:rsidRDefault="00526C11" w:rsidP="00B560E4">
      <w:pPr>
        <w:numPr>
          <w:ilvl w:val="0"/>
          <w:numId w:val="76"/>
        </w:numPr>
        <w:autoSpaceDE w:val="0"/>
        <w:autoSpaceDN w:val="0"/>
        <w:spacing w:before="0"/>
        <w:contextualSpacing/>
      </w:pPr>
      <w:r w:rsidRPr="00344365">
        <w:t>Na poplatok podľa písmena f) nemá vplyv počet živnostenských listov a počet koncesných listín, na ktorých sa zmena vyznačí, ani počet súčasne vyznačených zmien.</w:t>
      </w:r>
    </w:p>
    <w:p w:rsidR="00526C11" w:rsidRDefault="00526C11" w:rsidP="00B560E4">
      <w:pPr>
        <w:numPr>
          <w:ilvl w:val="0"/>
          <w:numId w:val="76"/>
        </w:numPr>
        <w:autoSpaceDE w:val="0"/>
        <w:autoSpaceDN w:val="0"/>
        <w:spacing w:before="0"/>
        <w:contextualSpacing/>
      </w:pPr>
      <w:r w:rsidRPr="00344365">
        <w:t>Za zmenu adresy bydliska, miesta podnikania alebo sídla vyznačenú v dôsledku premenovania názvov obcí a ulíc alebo zmenu dokladov o živnostenskom oprávnení a údajov v nich uvedených vyplývajúcu z právnych zmien podmienok živnostenského podnikania sa poplatok nevyberie.</w:t>
      </w:r>
    </w:p>
    <w:p w:rsidR="00043359" w:rsidRDefault="00043359" w:rsidP="00043359">
      <w:pPr>
        <w:autoSpaceDE w:val="0"/>
        <w:autoSpaceDN w:val="0"/>
        <w:spacing w:before="0"/>
        <w:contextualSpacing/>
      </w:pPr>
    </w:p>
    <w:p w:rsidR="00043359" w:rsidRDefault="00043359" w:rsidP="00043359">
      <w:pPr>
        <w:autoSpaceDE w:val="0"/>
        <w:autoSpaceDN w:val="0"/>
        <w:spacing w:before="0"/>
        <w:contextualSpacing/>
      </w:pPr>
    </w:p>
    <w:p w:rsidR="00043359" w:rsidRDefault="00043359" w:rsidP="00043359">
      <w:pPr>
        <w:autoSpaceDE w:val="0"/>
        <w:autoSpaceDN w:val="0"/>
        <w:spacing w:before="0"/>
        <w:contextualSpacing/>
      </w:pPr>
    </w:p>
    <w:p w:rsidR="00043359" w:rsidRDefault="00043359" w:rsidP="00043359">
      <w:pPr>
        <w:autoSpaceDE w:val="0"/>
        <w:autoSpaceDN w:val="0"/>
        <w:spacing w:before="0"/>
        <w:contextualSpacing/>
      </w:pPr>
      <w:r w:rsidRPr="00043359">
        <w:rPr>
          <w:b/>
        </w:rPr>
        <w:lastRenderedPageBreak/>
        <w:t>Príloha</w:t>
      </w:r>
      <w:r>
        <w:t xml:space="preserve"> </w:t>
      </w:r>
      <w:r>
        <w:rPr>
          <w:b/>
        </w:rPr>
        <w:t>5</w:t>
      </w:r>
      <w:r w:rsidRPr="00E158C3">
        <w:rPr>
          <w:b/>
        </w:rPr>
        <w:t xml:space="preserve"> Vzor živnostenského listu</w:t>
      </w:r>
    </w:p>
    <w:p w:rsidR="00043359" w:rsidRDefault="00043359" w:rsidP="00043359">
      <w:pPr>
        <w:autoSpaceDE w:val="0"/>
        <w:autoSpaceDN w:val="0"/>
        <w:spacing w:before="0"/>
        <w:contextualSpacing/>
      </w:pPr>
      <w:r>
        <w:rPr>
          <w:noProof/>
          <w:lang w:eastAsia="sk-SK"/>
        </w:rPr>
        <w:drawing>
          <wp:inline distT="0" distB="0" distL="0" distR="0">
            <wp:extent cx="5343525" cy="7562850"/>
            <wp:effectExtent l="19050" t="0" r="9525"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5343525" cy="7562850"/>
                    </a:xfrm>
                    <a:prstGeom prst="rect">
                      <a:avLst/>
                    </a:prstGeom>
                    <a:noFill/>
                    <a:ln w="9525">
                      <a:noFill/>
                      <a:miter lim="800000"/>
                      <a:headEnd/>
                      <a:tailEnd/>
                    </a:ln>
                  </pic:spPr>
                </pic:pic>
              </a:graphicData>
            </a:graphic>
          </wp:inline>
        </w:drawing>
      </w:r>
    </w:p>
    <w:p w:rsidR="00526C11" w:rsidRDefault="00526C11" w:rsidP="00526C11">
      <w:pPr>
        <w:pStyle w:val="Pta"/>
        <w:tabs>
          <w:tab w:val="clear" w:pos="4536"/>
          <w:tab w:val="clear" w:pos="9072"/>
        </w:tabs>
      </w:pPr>
    </w:p>
    <w:p w:rsidR="00C04C25" w:rsidRDefault="00526C11" w:rsidP="00C04C25">
      <w:pPr>
        <w:spacing w:line="240" w:lineRule="auto"/>
        <w:contextualSpacing/>
        <w:rPr>
          <w:bCs/>
        </w:rPr>
      </w:pPr>
      <w:r w:rsidRPr="00344365">
        <w:rPr>
          <w:b/>
        </w:rPr>
        <w:t xml:space="preserve"> </w:t>
      </w:r>
    </w:p>
    <w:p w:rsidR="00526C11" w:rsidRPr="00C04C25" w:rsidRDefault="00526C11" w:rsidP="00C04C25">
      <w:pPr>
        <w:spacing w:line="240" w:lineRule="auto"/>
        <w:contextualSpacing/>
      </w:pPr>
    </w:p>
    <w:sectPr w:rsidR="00526C11" w:rsidRPr="00C04C25" w:rsidSect="00E713D6">
      <w:headerReference w:type="default" r:id="rId22"/>
      <w:footerReference w:type="default" r:id="rId23"/>
      <w:pgSz w:w="11906" w:h="16838"/>
      <w:pgMar w:top="1418" w:right="1418" w:bottom="1418" w:left="1985" w:header="851" w:footer="6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60E4" w:rsidRDefault="00B560E4">
      <w:pPr>
        <w:spacing w:before="0" w:line="240" w:lineRule="auto"/>
      </w:pPr>
      <w:r>
        <w:separator/>
      </w:r>
    </w:p>
  </w:endnote>
  <w:endnote w:type="continuationSeparator" w:id="0">
    <w:p w:rsidR="00B560E4" w:rsidRDefault="00B560E4">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2E4" w:rsidRDefault="007D12E4" w:rsidP="00956A22">
    <w:pPr>
      <w:pStyle w:val="ZPNormalnyTex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2E4" w:rsidRDefault="007D12E4" w:rsidP="00956A22">
    <w:pPr>
      <w:pStyle w:val="ZPNormalnyTex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2E4" w:rsidRDefault="007D12E4">
    <w:pPr>
      <w:pStyle w:val="Pta"/>
      <w:pBdr>
        <w:top w:val="dotted" w:sz="4" w:space="1" w:color="auto"/>
      </w:pBdr>
    </w:pPr>
    <w:r>
      <w:tab/>
    </w:r>
    <w:fldSimple w:instr=" PAGE ">
      <w:r w:rsidR="00317741">
        <w:rPr>
          <w:noProof/>
        </w:rPr>
        <w:t>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60E4" w:rsidRDefault="00B560E4">
      <w:pPr>
        <w:spacing w:before="0" w:line="240" w:lineRule="auto"/>
      </w:pPr>
      <w:r>
        <w:separator/>
      </w:r>
    </w:p>
  </w:footnote>
  <w:footnote w:type="continuationSeparator" w:id="0">
    <w:p w:rsidR="00B560E4" w:rsidRDefault="00B560E4">
      <w:pPr>
        <w:spacing w:before="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2E4" w:rsidRDefault="007D12E4">
    <w:pPr>
      <w:pStyle w:val="Hlavika"/>
      <w:jc w:val="center"/>
      <w:rPr>
        <w:vanish/>
        <w:sz w:val="28"/>
      </w:rPr>
    </w:pPr>
    <w:r>
      <w:rPr>
        <w:vanish/>
        <w:sz w:val="28"/>
      </w:rPr>
      <w:t>OBAL záverečnej práce v súlade s ISO 7144</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2E4" w:rsidRDefault="007D12E4">
    <w:pPr>
      <w:pStyle w:val="Hlavika"/>
      <w:jc w:val="center"/>
      <w:rPr>
        <w:vanish/>
        <w:sz w:val="32"/>
      </w:rPr>
    </w:pPr>
    <w:r>
      <w:rPr>
        <w:vanish/>
        <w:sz w:val="32"/>
      </w:rPr>
      <w:t>TITULNÝ LIST záverečnej práce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2E4" w:rsidRDefault="007D12E4">
    <w:pPr>
      <w:pStyle w:val="Hlavika"/>
      <w:rPr>
        <w:sz w:val="32"/>
      </w:rPr>
    </w:pPr>
    <w:r>
      <w:rPr>
        <w:sz w:val="32"/>
      </w:rPr>
      <w:tab/>
    </w:r>
    <w:r>
      <w:rPr>
        <w:vanish/>
        <w:sz w:val="32"/>
      </w:rPr>
      <w:t>Poďakovanie</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2E4" w:rsidRDefault="007D12E4">
    <w:pPr>
      <w:pStyle w:val="Hlavika"/>
      <w:rPr>
        <w:sz w:val="32"/>
      </w:rPr>
    </w:pPr>
    <w:r>
      <w:rPr>
        <w:sz w:val="32"/>
      </w:rPr>
      <w:tab/>
    </w:r>
    <w:r>
      <w:rPr>
        <w:vanish/>
        <w:sz w:val="32"/>
      </w:rPr>
      <w:t>Abstrakt</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2E4" w:rsidRDefault="007D12E4">
    <w:pPr>
      <w:pStyle w:val="Hlavika"/>
      <w:rPr>
        <w:sz w:val="32"/>
      </w:rPr>
    </w:pPr>
    <w:r>
      <w:rPr>
        <w:sz w:val="32"/>
      </w:rPr>
      <w:tab/>
    </w:r>
    <w:r>
      <w:rPr>
        <w:vanish/>
        <w:sz w:val="32"/>
      </w:rPr>
      <w:t>Obsah</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2E4" w:rsidRDefault="007D12E4">
    <w:pPr>
      <w:pStyle w:val="Hlavika"/>
      <w:pBdr>
        <w:bottom w:val="dotted" w:sz="4" w:space="1" w:color="auto"/>
      </w:pBdr>
      <w:rPr>
        <w:lang w:val="cs-CZ"/>
      </w:rPr>
    </w:pP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F288B3E"/>
    <w:lvl w:ilvl="0">
      <w:start w:val="1"/>
      <w:numFmt w:val="decimal"/>
      <w:pStyle w:val="slovanzoznam5"/>
      <w:lvlText w:val="%1."/>
      <w:lvlJc w:val="left"/>
      <w:pPr>
        <w:tabs>
          <w:tab w:val="num" w:pos="1492"/>
        </w:tabs>
        <w:ind w:left="1492" w:hanging="360"/>
      </w:pPr>
    </w:lvl>
  </w:abstractNum>
  <w:abstractNum w:abstractNumId="1">
    <w:nsid w:val="FFFFFF7D"/>
    <w:multiLevelType w:val="singleLevel"/>
    <w:tmpl w:val="D1BEE0C0"/>
    <w:lvl w:ilvl="0">
      <w:start w:val="1"/>
      <w:numFmt w:val="decimal"/>
      <w:pStyle w:val="slovanzoznam4"/>
      <w:lvlText w:val="%1."/>
      <w:lvlJc w:val="left"/>
      <w:pPr>
        <w:tabs>
          <w:tab w:val="num" w:pos="1209"/>
        </w:tabs>
        <w:ind w:left="1209" w:hanging="360"/>
      </w:pPr>
    </w:lvl>
  </w:abstractNum>
  <w:abstractNum w:abstractNumId="2">
    <w:nsid w:val="FFFFFF7E"/>
    <w:multiLevelType w:val="singleLevel"/>
    <w:tmpl w:val="B9F4452A"/>
    <w:lvl w:ilvl="0">
      <w:start w:val="1"/>
      <w:numFmt w:val="decimal"/>
      <w:pStyle w:val="slovanzoznam3"/>
      <w:lvlText w:val="%1."/>
      <w:lvlJc w:val="left"/>
      <w:pPr>
        <w:tabs>
          <w:tab w:val="num" w:pos="926"/>
        </w:tabs>
        <w:ind w:left="926" w:hanging="360"/>
      </w:pPr>
    </w:lvl>
  </w:abstractNum>
  <w:abstractNum w:abstractNumId="3">
    <w:nsid w:val="FFFFFF7F"/>
    <w:multiLevelType w:val="singleLevel"/>
    <w:tmpl w:val="BBE4B75A"/>
    <w:lvl w:ilvl="0">
      <w:start w:val="1"/>
      <w:numFmt w:val="decimal"/>
      <w:pStyle w:val="slovanzoznam2"/>
      <w:lvlText w:val="%1."/>
      <w:lvlJc w:val="left"/>
      <w:pPr>
        <w:tabs>
          <w:tab w:val="num" w:pos="643"/>
        </w:tabs>
        <w:ind w:left="643" w:hanging="360"/>
      </w:pPr>
    </w:lvl>
  </w:abstractNum>
  <w:abstractNum w:abstractNumId="4">
    <w:nsid w:val="FFFFFF80"/>
    <w:multiLevelType w:val="singleLevel"/>
    <w:tmpl w:val="4CB88F22"/>
    <w:lvl w:ilvl="0">
      <w:start w:val="1"/>
      <w:numFmt w:val="bullet"/>
      <w:pStyle w:val="Zoznamsodrkami5"/>
      <w:lvlText w:val=""/>
      <w:lvlJc w:val="left"/>
      <w:pPr>
        <w:tabs>
          <w:tab w:val="num" w:pos="1492"/>
        </w:tabs>
        <w:ind w:left="1492" w:hanging="360"/>
      </w:pPr>
      <w:rPr>
        <w:rFonts w:ascii="Symbol" w:hAnsi="Symbol" w:hint="default"/>
      </w:rPr>
    </w:lvl>
  </w:abstractNum>
  <w:abstractNum w:abstractNumId="5">
    <w:nsid w:val="FFFFFF81"/>
    <w:multiLevelType w:val="singleLevel"/>
    <w:tmpl w:val="8B6AF258"/>
    <w:lvl w:ilvl="0">
      <w:start w:val="1"/>
      <w:numFmt w:val="bullet"/>
      <w:pStyle w:val="Zoznamsodrkami4"/>
      <w:lvlText w:val=""/>
      <w:lvlJc w:val="left"/>
      <w:pPr>
        <w:tabs>
          <w:tab w:val="num" w:pos="1209"/>
        </w:tabs>
        <w:ind w:left="1209" w:hanging="360"/>
      </w:pPr>
      <w:rPr>
        <w:rFonts w:ascii="Symbol" w:hAnsi="Symbol" w:hint="default"/>
      </w:rPr>
    </w:lvl>
  </w:abstractNum>
  <w:abstractNum w:abstractNumId="6">
    <w:nsid w:val="FFFFFF82"/>
    <w:multiLevelType w:val="singleLevel"/>
    <w:tmpl w:val="95263CD0"/>
    <w:lvl w:ilvl="0">
      <w:start w:val="1"/>
      <w:numFmt w:val="bullet"/>
      <w:pStyle w:val="Zoznamsodrkami3"/>
      <w:lvlText w:val=""/>
      <w:lvlJc w:val="left"/>
      <w:pPr>
        <w:tabs>
          <w:tab w:val="num" w:pos="926"/>
        </w:tabs>
        <w:ind w:left="926" w:hanging="360"/>
      </w:pPr>
      <w:rPr>
        <w:rFonts w:ascii="Symbol" w:hAnsi="Symbol" w:hint="default"/>
      </w:rPr>
    </w:lvl>
  </w:abstractNum>
  <w:abstractNum w:abstractNumId="7">
    <w:nsid w:val="FFFFFF83"/>
    <w:multiLevelType w:val="singleLevel"/>
    <w:tmpl w:val="8CE0EE66"/>
    <w:lvl w:ilvl="0">
      <w:start w:val="1"/>
      <w:numFmt w:val="bullet"/>
      <w:pStyle w:val="Zoznamsodrkami2"/>
      <w:lvlText w:val=""/>
      <w:lvlJc w:val="left"/>
      <w:pPr>
        <w:tabs>
          <w:tab w:val="num" w:pos="643"/>
        </w:tabs>
        <w:ind w:left="643" w:hanging="360"/>
      </w:pPr>
      <w:rPr>
        <w:rFonts w:ascii="Symbol" w:hAnsi="Symbol" w:hint="default"/>
      </w:rPr>
    </w:lvl>
  </w:abstractNum>
  <w:abstractNum w:abstractNumId="8">
    <w:nsid w:val="FFFFFF88"/>
    <w:multiLevelType w:val="singleLevel"/>
    <w:tmpl w:val="9C201AD4"/>
    <w:lvl w:ilvl="0">
      <w:start w:val="1"/>
      <w:numFmt w:val="decimal"/>
      <w:pStyle w:val="slovanzoznam"/>
      <w:lvlText w:val="%1."/>
      <w:lvlJc w:val="left"/>
      <w:pPr>
        <w:tabs>
          <w:tab w:val="num" w:pos="360"/>
        </w:tabs>
        <w:ind w:left="360" w:hanging="360"/>
      </w:pPr>
    </w:lvl>
  </w:abstractNum>
  <w:abstractNum w:abstractNumId="9">
    <w:nsid w:val="FFFFFF89"/>
    <w:multiLevelType w:val="singleLevel"/>
    <w:tmpl w:val="990E2562"/>
    <w:lvl w:ilvl="0">
      <w:start w:val="1"/>
      <w:numFmt w:val="bullet"/>
      <w:pStyle w:val="Zoznamsodrkami"/>
      <w:lvlText w:val=""/>
      <w:lvlJc w:val="left"/>
      <w:pPr>
        <w:tabs>
          <w:tab w:val="num" w:pos="360"/>
        </w:tabs>
        <w:ind w:left="360" w:hanging="360"/>
      </w:pPr>
      <w:rPr>
        <w:rFonts w:ascii="Symbol" w:hAnsi="Symbol" w:hint="default"/>
      </w:rPr>
    </w:lvl>
  </w:abstractNum>
  <w:abstractNum w:abstractNumId="10">
    <w:nsid w:val="00F15AD4"/>
    <w:multiLevelType w:val="hybridMultilevel"/>
    <w:tmpl w:val="927C451C"/>
    <w:lvl w:ilvl="0" w:tplc="041B0007">
      <w:start w:val="1"/>
      <w:numFmt w:val="bullet"/>
      <w:lvlText w:val=""/>
      <w:lvlJc w:val="left"/>
      <w:pPr>
        <w:ind w:left="720" w:hanging="360"/>
      </w:pPr>
      <w:rPr>
        <w:rFonts w:ascii="Wingdings" w:hAnsi="Wingdings" w:hint="default"/>
        <w:sz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013E6591"/>
    <w:multiLevelType w:val="hybridMultilevel"/>
    <w:tmpl w:val="5FEC79E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nsid w:val="077C45EF"/>
    <w:multiLevelType w:val="hybridMultilevel"/>
    <w:tmpl w:val="4AB09EDC"/>
    <w:lvl w:ilvl="0" w:tplc="041B0007">
      <w:start w:val="1"/>
      <w:numFmt w:val="bullet"/>
      <w:lvlText w:val=""/>
      <w:lvlJc w:val="left"/>
      <w:pPr>
        <w:ind w:left="720" w:hanging="360"/>
      </w:pPr>
      <w:rPr>
        <w:rFonts w:ascii="Wingdings" w:hAnsi="Wingdings" w:hint="default"/>
        <w:sz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0AA1726E"/>
    <w:multiLevelType w:val="hybridMultilevel"/>
    <w:tmpl w:val="5618611A"/>
    <w:lvl w:ilvl="0" w:tplc="041B0007">
      <w:start w:val="1"/>
      <w:numFmt w:val="bullet"/>
      <w:lvlText w:val=""/>
      <w:lvlJc w:val="left"/>
      <w:pPr>
        <w:ind w:left="720" w:hanging="360"/>
      </w:pPr>
      <w:rPr>
        <w:rFonts w:ascii="Wingdings" w:hAnsi="Wingdings" w:hint="default"/>
        <w:sz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0BDF20E4"/>
    <w:multiLevelType w:val="hybridMultilevel"/>
    <w:tmpl w:val="1B68AEF4"/>
    <w:lvl w:ilvl="0" w:tplc="041B0007">
      <w:start w:val="1"/>
      <w:numFmt w:val="bullet"/>
      <w:lvlText w:val=""/>
      <w:lvlJc w:val="left"/>
      <w:pPr>
        <w:ind w:left="720" w:hanging="360"/>
      </w:pPr>
      <w:rPr>
        <w:rFonts w:ascii="Wingdings" w:hAnsi="Wingdings" w:hint="default"/>
        <w:sz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0C124515"/>
    <w:multiLevelType w:val="hybridMultilevel"/>
    <w:tmpl w:val="C9648A2A"/>
    <w:lvl w:ilvl="0" w:tplc="D9D8E47A">
      <w:start w:val="3"/>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116D3A8B"/>
    <w:multiLevelType w:val="hybridMultilevel"/>
    <w:tmpl w:val="5C547F0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nsid w:val="11784B82"/>
    <w:multiLevelType w:val="hybridMultilevel"/>
    <w:tmpl w:val="E266FD1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nsid w:val="12671D17"/>
    <w:multiLevelType w:val="hybridMultilevel"/>
    <w:tmpl w:val="6542F6E8"/>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nsid w:val="12A57E28"/>
    <w:multiLevelType w:val="hybridMultilevel"/>
    <w:tmpl w:val="CE4CC59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nsid w:val="132E7FB1"/>
    <w:multiLevelType w:val="hybridMultilevel"/>
    <w:tmpl w:val="E8C4657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nsid w:val="14A47FF5"/>
    <w:multiLevelType w:val="hybridMultilevel"/>
    <w:tmpl w:val="459A7E3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nsid w:val="14A5318E"/>
    <w:multiLevelType w:val="hybridMultilevel"/>
    <w:tmpl w:val="C87E07C8"/>
    <w:lvl w:ilvl="0" w:tplc="EC9CE574">
      <w:start w:val="2"/>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nsid w:val="14DB504A"/>
    <w:multiLevelType w:val="hybridMultilevel"/>
    <w:tmpl w:val="C604FB2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nsid w:val="15255D1B"/>
    <w:multiLevelType w:val="hybridMultilevel"/>
    <w:tmpl w:val="5EDCAFBE"/>
    <w:lvl w:ilvl="0" w:tplc="041B0007">
      <w:start w:val="1"/>
      <w:numFmt w:val="bullet"/>
      <w:lvlText w:val=""/>
      <w:lvlJc w:val="left"/>
      <w:pPr>
        <w:ind w:left="720" w:hanging="360"/>
      </w:pPr>
      <w:rPr>
        <w:rFonts w:ascii="Wingdings" w:hAnsi="Wingdings" w:hint="default"/>
        <w:sz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16492866"/>
    <w:multiLevelType w:val="hybridMultilevel"/>
    <w:tmpl w:val="08CCDD7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nsid w:val="1BF53B59"/>
    <w:multiLevelType w:val="multilevel"/>
    <w:tmpl w:val="2F48258A"/>
    <w:lvl w:ilvl="0">
      <w:start w:val="1"/>
      <w:numFmt w:val="decimal"/>
      <w:pStyle w:val="NadpisKapitoly"/>
      <w:lvlText w:val="%1"/>
      <w:lvlJc w:val="left"/>
      <w:pPr>
        <w:tabs>
          <w:tab w:val="num" w:pos="432"/>
        </w:tabs>
        <w:ind w:left="432" w:hanging="432"/>
      </w:pPr>
    </w:lvl>
    <w:lvl w:ilvl="1">
      <w:start w:val="1"/>
      <w:numFmt w:val="decimal"/>
      <w:pStyle w:val="PodNadpisKapitoly"/>
      <w:lvlText w:val="%1.%2"/>
      <w:lvlJc w:val="left"/>
      <w:pPr>
        <w:tabs>
          <w:tab w:val="num" w:pos="576"/>
        </w:tabs>
        <w:ind w:left="576" w:hanging="576"/>
      </w:pPr>
    </w:lvl>
    <w:lvl w:ilvl="2">
      <w:start w:val="1"/>
      <w:numFmt w:val="decimal"/>
      <w:pStyle w:val="PodNadpis3uroven"/>
      <w:lvlText w:val="%1.%2.%3"/>
      <w:lvlJc w:val="left"/>
      <w:pPr>
        <w:tabs>
          <w:tab w:val="num" w:pos="720"/>
        </w:tabs>
        <w:ind w:left="720" w:hanging="720"/>
      </w:pPr>
    </w:lvl>
    <w:lvl w:ilvl="3">
      <w:start w:val="1"/>
      <w:numFmt w:val="decimal"/>
      <w:pStyle w:val="Nadpis4"/>
      <w:lvlText w:val="%1.%2.%3.%4"/>
      <w:lvlJc w:val="left"/>
      <w:pPr>
        <w:tabs>
          <w:tab w:val="num" w:pos="1080"/>
        </w:tabs>
        <w:ind w:left="864" w:hanging="864"/>
      </w:pPr>
    </w:lvl>
    <w:lvl w:ilvl="4">
      <w:start w:val="1"/>
      <w:numFmt w:val="decimal"/>
      <w:pStyle w:val="Nadpis5"/>
      <w:lvlText w:val="%1.%2.%3.%4.%5"/>
      <w:lvlJc w:val="left"/>
      <w:pPr>
        <w:tabs>
          <w:tab w:val="num" w:pos="1440"/>
        </w:tabs>
        <w:ind w:left="1008" w:hanging="1008"/>
      </w:pPr>
    </w:lvl>
    <w:lvl w:ilvl="5">
      <w:start w:val="1"/>
      <w:numFmt w:val="decimal"/>
      <w:pStyle w:val="Nadpis6"/>
      <w:lvlText w:val="%1.%2.%3.%4.%5.%6"/>
      <w:lvlJc w:val="left"/>
      <w:pPr>
        <w:tabs>
          <w:tab w:val="num" w:pos="1800"/>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nsid w:val="1CA17ADC"/>
    <w:multiLevelType w:val="hybridMultilevel"/>
    <w:tmpl w:val="473C3A1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nsid w:val="1EDE6A23"/>
    <w:multiLevelType w:val="hybridMultilevel"/>
    <w:tmpl w:val="5BF436A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nsid w:val="21E0511C"/>
    <w:multiLevelType w:val="hybridMultilevel"/>
    <w:tmpl w:val="BF92DCD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nsid w:val="24E9350B"/>
    <w:multiLevelType w:val="hybridMultilevel"/>
    <w:tmpl w:val="2F841FD8"/>
    <w:lvl w:ilvl="0" w:tplc="041B0007">
      <w:start w:val="1"/>
      <w:numFmt w:val="bullet"/>
      <w:lvlText w:val=""/>
      <w:lvlJc w:val="left"/>
      <w:pPr>
        <w:ind w:left="720" w:hanging="360"/>
      </w:pPr>
      <w:rPr>
        <w:rFonts w:ascii="Wingdings" w:hAnsi="Wingdings" w:hint="default"/>
        <w:sz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nsid w:val="251258BA"/>
    <w:multiLevelType w:val="hybridMultilevel"/>
    <w:tmpl w:val="48F67D7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nsid w:val="256308D5"/>
    <w:multiLevelType w:val="hybridMultilevel"/>
    <w:tmpl w:val="1788452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nsid w:val="29A4285D"/>
    <w:multiLevelType w:val="hybridMultilevel"/>
    <w:tmpl w:val="683421D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nsid w:val="2A6106A8"/>
    <w:multiLevelType w:val="hybridMultilevel"/>
    <w:tmpl w:val="FC087DD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nsid w:val="2A677F55"/>
    <w:multiLevelType w:val="hybridMultilevel"/>
    <w:tmpl w:val="5D30852E"/>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nsid w:val="2A815F57"/>
    <w:multiLevelType w:val="hybridMultilevel"/>
    <w:tmpl w:val="B4A24936"/>
    <w:lvl w:ilvl="0" w:tplc="041B0007">
      <w:start w:val="1"/>
      <w:numFmt w:val="bullet"/>
      <w:lvlText w:val=""/>
      <w:lvlJc w:val="left"/>
      <w:pPr>
        <w:ind w:left="720" w:hanging="360"/>
      </w:pPr>
      <w:rPr>
        <w:rFonts w:ascii="Wingdings" w:hAnsi="Wingdings" w:hint="default"/>
        <w:sz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nsid w:val="2B9953EC"/>
    <w:multiLevelType w:val="hybridMultilevel"/>
    <w:tmpl w:val="84983C2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nsid w:val="2C126336"/>
    <w:multiLevelType w:val="hybridMultilevel"/>
    <w:tmpl w:val="CD166E5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nsid w:val="31513E54"/>
    <w:multiLevelType w:val="hybridMultilevel"/>
    <w:tmpl w:val="D4C62E7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nsid w:val="356358B7"/>
    <w:multiLevelType w:val="hybridMultilevel"/>
    <w:tmpl w:val="465C998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nsid w:val="36CA25E9"/>
    <w:multiLevelType w:val="hybridMultilevel"/>
    <w:tmpl w:val="38403A14"/>
    <w:lvl w:ilvl="0" w:tplc="041B0007">
      <w:start w:val="1"/>
      <w:numFmt w:val="bullet"/>
      <w:lvlText w:val=""/>
      <w:lvlJc w:val="left"/>
      <w:pPr>
        <w:ind w:left="720" w:hanging="360"/>
      </w:pPr>
      <w:rPr>
        <w:rFonts w:ascii="Wingdings" w:hAnsi="Wingdings" w:hint="default"/>
        <w:sz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nsid w:val="3DC1583D"/>
    <w:multiLevelType w:val="hybridMultilevel"/>
    <w:tmpl w:val="C2AA885A"/>
    <w:lvl w:ilvl="0" w:tplc="041B0007">
      <w:start w:val="1"/>
      <w:numFmt w:val="bullet"/>
      <w:lvlText w:val=""/>
      <w:lvlJc w:val="left"/>
      <w:pPr>
        <w:ind w:left="720" w:hanging="360"/>
      </w:pPr>
      <w:rPr>
        <w:rFonts w:ascii="Wingdings" w:hAnsi="Wingdings" w:hint="default"/>
        <w:sz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nsid w:val="40F95D36"/>
    <w:multiLevelType w:val="multilevel"/>
    <w:tmpl w:val="C3D8CC68"/>
    <w:lvl w:ilvl="0">
      <w:start w:val="1"/>
      <w:numFmt w:val="decimal"/>
      <w:pStyle w:val="lnok"/>
      <w:lvlText w:val="Čl. %1"/>
      <w:lvlJc w:val="left"/>
      <w:pPr>
        <w:tabs>
          <w:tab w:val="num" w:pos="5257"/>
        </w:tabs>
        <w:ind w:left="4424" w:firstLine="113"/>
      </w:pPr>
      <w:rPr>
        <w:rFonts w:ascii="Times New Roman" w:hAnsi="Times New Roman" w:cs="Times New Roman"/>
        <w:b w:val="0"/>
        <w:bCs w:val="0"/>
        <w:i w:val="0"/>
        <w:iCs w:val="0"/>
        <w:caps w:val="0"/>
        <w:smallCaps w:val="0"/>
        <w:strike w:val="0"/>
        <w:dstrike w:val="0"/>
        <w:outline w:val="0"/>
        <w:shadow w:val="0"/>
        <w:emboss w:val="0"/>
        <w:imprint w:val="0"/>
        <w:vanish w:val="0"/>
        <w:webHidden w:val="0"/>
        <w:color w:val="000000"/>
        <w:spacing w:val="0"/>
        <w:kern w:val="0"/>
        <w:position w:val="0"/>
        <w:u w:val="none"/>
        <w:effect w:val="none"/>
        <w:vertAlign w:val="baseline"/>
        <w:specVanish w:val="0"/>
      </w:rPr>
    </w:lvl>
    <w:lvl w:ilvl="1">
      <w:start w:val="1"/>
      <w:numFmt w:val="decimal"/>
      <w:pStyle w:val="odsek"/>
      <w:lvlText w:val="(%2)"/>
      <w:lvlJc w:val="left"/>
      <w:pPr>
        <w:tabs>
          <w:tab w:val="num" w:pos="360"/>
        </w:tabs>
        <w:ind w:left="0" w:firstLine="0"/>
      </w:pPr>
      <w:rPr>
        <w:rFonts w:ascii="Times New Roman" w:hAnsi="Times New Roman" w:cs="Times New Roman"/>
        <w:b w:val="0"/>
        <w:bCs w:val="0"/>
        <w:i w:val="0"/>
        <w:iCs w:val="0"/>
        <w:caps w:val="0"/>
        <w:smallCaps w:val="0"/>
        <w:strike w:val="0"/>
        <w:dstrike w:val="0"/>
        <w:outline w:val="0"/>
        <w:shadow w:val="0"/>
        <w:emboss w:val="0"/>
        <w:imprint w:val="0"/>
        <w:color w:val="auto"/>
        <w:spacing w:val="0"/>
        <w:w w:val="100"/>
        <w:kern w:val="0"/>
        <w:position w:val="0"/>
        <w:sz w:val="24"/>
        <w:szCs w:val="24"/>
        <w:u w:val="none"/>
        <w:effect w:val="none"/>
      </w:rPr>
    </w:lvl>
    <w:lvl w:ilvl="2">
      <w:start w:val="1"/>
      <w:numFmt w:val="lowerLetter"/>
      <w:lvlText w:val="%3)"/>
      <w:lvlJc w:val="left"/>
      <w:pPr>
        <w:tabs>
          <w:tab w:val="num" w:pos="723"/>
        </w:tabs>
        <w:ind w:left="720" w:hanging="357"/>
      </w:pPr>
      <w:rPr>
        <w:rFonts w:ascii="Times New Roman" w:eastAsia="Times New Roman" w:hAnsi="Times New Roman" w:cs="Times New Roman"/>
        <w:color w:val="000000"/>
      </w:rPr>
    </w:lvl>
    <w:lvl w:ilvl="3">
      <w:start w:val="1"/>
      <w:numFmt w:val="decimal"/>
      <w:lvlText w:val="%4."/>
      <w:lvlJc w:val="left"/>
      <w:pPr>
        <w:tabs>
          <w:tab w:val="num" w:pos="1067"/>
        </w:tabs>
        <w:ind w:left="1067" w:hanging="357"/>
      </w:pPr>
      <w:rPr>
        <w:rFonts w:cs="Times New Roman"/>
      </w:rPr>
    </w:lvl>
    <w:lvl w:ilvl="4">
      <w:start w:val="1"/>
      <w:numFmt w:val="lowerLetter"/>
      <w:lvlText w:val="(%5)"/>
      <w:lvlJc w:val="left"/>
      <w:pPr>
        <w:tabs>
          <w:tab w:val="num" w:pos="1443"/>
        </w:tabs>
        <w:ind w:left="1443" w:hanging="360"/>
      </w:pPr>
      <w:rPr>
        <w:rFonts w:cs="Times New Roman"/>
      </w:rPr>
    </w:lvl>
    <w:lvl w:ilvl="5">
      <w:start w:val="1"/>
      <w:numFmt w:val="lowerRoman"/>
      <w:lvlText w:val="(%6)"/>
      <w:lvlJc w:val="left"/>
      <w:pPr>
        <w:tabs>
          <w:tab w:val="num" w:pos="1803"/>
        </w:tabs>
        <w:ind w:left="1803" w:hanging="360"/>
      </w:pPr>
      <w:rPr>
        <w:rFonts w:cs="Times New Roman"/>
      </w:rPr>
    </w:lvl>
    <w:lvl w:ilvl="6">
      <w:start w:val="1"/>
      <w:numFmt w:val="decimal"/>
      <w:lvlText w:val="%7."/>
      <w:lvlJc w:val="left"/>
      <w:pPr>
        <w:tabs>
          <w:tab w:val="num" w:pos="2163"/>
        </w:tabs>
        <w:ind w:left="2163" w:hanging="360"/>
      </w:pPr>
      <w:rPr>
        <w:rFonts w:cs="Times New Roman"/>
      </w:rPr>
    </w:lvl>
    <w:lvl w:ilvl="7">
      <w:start w:val="1"/>
      <w:numFmt w:val="lowerLetter"/>
      <w:lvlText w:val="%8."/>
      <w:lvlJc w:val="left"/>
      <w:pPr>
        <w:tabs>
          <w:tab w:val="num" w:pos="2523"/>
        </w:tabs>
        <w:ind w:left="2523" w:hanging="360"/>
      </w:pPr>
      <w:rPr>
        <w:rFonts w:cs="Times New Roman"/>
      </w:rPr>
    </w:lvl>
    <w:lvl w:ilvl="8">
      <w:start w:val="1"/>
      <w:numFmt w:val="lowerRoman"/>
      <w:lvlText w:val="%9."/>
      <w:lvlJc w:val="left"/>
      <w:pPr>
        <w:tabs>
          <w:tab w:val="num" w:pos="2883"/>
        </w:tabs>
        <w:ind w:left="2883" w:hanging="360"/>
      </w:pPr>
      <w:rPr>
        <w:rFonts w:cs="Times New Roman"/>
      </w:rPr>
    </w:lvl>
  </w:abstractNum>
  <w:abstractNum w:abstractNumId="44">
    <w:nsid w:val="42880E0E"/>
    <w:multiLevelType w:val="hybridMultilevel"/>
    <w:tmpl w:val="A90A56CC"/>
    <w:lvl w:ilvl="0" w:tplc="041B0007">
      <w:start w:val="1"/>
      <w:numFmt w:val="bullet"/>
      <w:lvlText w:val=""/>
      <w:lvlJc w:val="left"/>
      <w:pPr>
        <w:ind w:left="720" w:hanging="360"/>
      </w:pPr>
      <w:rPr>
        <w:rFonts w:ascii="Wingdings" w:hAnsi="Wingdings" w:hint="default"/>
        <w:sz w:val="16"/>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nsid w:val="46A90AB0"/>
    <w:multiLevelType w:val="hybridMultilevel"/>
    <w:tmpl w:val="515EDFEA"/>
    <w:lvl w:ilvl="0" w:tplc="041B0007">
      <w:start w:val="1"/>
      <w:numFmt w:val="bullet"/>
      <w:lvlText w:val=""/>
      <w:lvlJc w:val="left"/>
      <w:pPr>
        <w:ind w:left="720" w:hanging="360"/>
      </w:pPr>
      <w:rPr>
        <w:rFonts w:ascii="Wingdings" w:hAnsi="Wingdings" w:hint="default"/>
        <w:sz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nsid w:val="4F5C3C1C"/>
    <w:multiLevelType w:val="hybridMultilevel"/>
    <w:tmpl w:val="594AE568"/>
    <w:lvl w:ilvl="0" w:tplc="041B0007">
      <w:start w:val="1"/>
      <w:numFmt w:val="bullet"/>
      <w:lvlText w:val=""/>
      <w:lvlJc w:val="left"/>
      <w:pPr>
        <w:ind w:left="720" w:hanging="360"/>
      </w:pPr>
      <w:rPr>
        <w:rFonts w:ascii="Wingdings" w:hAnsi="Wingdings" w:hint="default"/>
        <w:sz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nsid w:val="4FC87507"/>
    <w:multiLevelType w:val="hybridMultilevel"/>
    <w:tmpl w:val="B7421896"/>
    <w:lvl w:ilvl="0" w:tplc="041B0007">
      <w:start w:val="1"/>
      <w:numFmt w:val="bullet"/>
      <w:lvlText w:val=""/>
      <w:lvlJc w:val="left"/>
      <w:pPr>
        <w:ind w:left="720" w:hanging="360"/>
      </w:pPr>
      <w:rPr>
        <w:rFonts w:ascii="Wingdings" w:hAnsi="Wingdings" w:hint="default"/>
        <w:sz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nsid w:val="50DF540B"/>
    <w:multiLevelType w:val="hybridMultilevel"/>
    <w:tmpl w:val="FFF60A5E"/>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9">
    <w:nsid w:val="51A91891"/>
    <w:multiLevelType w:val="hybridMultilevel"/>
    <w:tmpl w:val="3648F37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nsid w:val="526C366D"/>
    <w:multiLevelType w:val="multilevel"/>
    <w:tmpl w:val="3CA29982"/>
    <w:lvl w:ilvl="0">
      <w:start w:val="1"/>
      <w:numFmt w:val="decimal"/>
      <w:pStyle w:val="Nadpis1"/>
      <w:lvlText w:val="%1"/>
      <w:lvlJc w:val="left"/>
      <w:pPr>
        <w:tabs>
          <w:tab w:val="num" w:pos="360"/>
        </w:tabs>
        <w:ind w:left="0" w:firstLine="0"/>
      </w:pPr>
    </w:lvl>
    <w:lvl w:ilvl="1">
      <w:start w:val="1"/>
      <w:numFmt w:val="decimal"/>
      <w:lvlText w:val="%1.%2"/>
      <w:lvlJc w:val="left"/>
      <w:pPr>
        <w:tabs>
          <w:tab w:val="num" w:pos="1256"/>
        </w:tabs>
        <w:ind w:left="1256" w:hanging="576"/>
      </w:pPr>
    </w:lvl>
    <w:lvl w:ilvl="2">
      <w:start w:val="1"/>
      <w:numFmt w:val="decimal"/>
      <w:pStyle w:val="Nadpis3"/>
      <w:lvlText w:val="%1.%2.%3"/>
      <w:lvlJc w:val="left"/>
      <w:pPr>
        <w:tabs>
          <w:tab w:val="num" w:pos="1400"/>
        </w:tabs>
        <w:ind w:left="1400" w:hanging="720"/>
      </w:pPr>
    </w:lvl>
    <w:lvl w:ilvl="3">
      <w:start w:val="1"/>
      <w:numFmt w:val="decimal"/>
      <w:lvlText w:val="%1.%2.%3.%4"/>
      <w:lvlJc w:val="left"/>
      <w:pPr>
        <w:tabs>
          <w:tab w:val="num" w:pos="1544"/>
        </w:tabs>
        <w:ind w:left="1544" w:hanging="864"/>
      </w:pPr>
    </w:lvl>
    <w:lvl w:ilvl="4">
      <w:start w:val="1"/>
      <w:numFmt w:val="decimal"/>
      <w:lvlText w:val="%1.%2.%3.%4.%5"/>
      <w:lvlJc w:val="left"/>
      <w:pPr>
        <w:tabs>
          <w:tab w:val="num" w:pos="1688"/>
        </w:tabs>
        <w:ind w:left="1688" w:hanging="1008"/>
      </w:pPr>
    </w:lvl>
    <w:lvl w:ilvl="5">
      <w:start w:val="1"/>
      <w:numFmt w:val="decimal"/>
      <w:lvlText w:val="%1.%2.%3.%4.%5.%6"/>
      <w:lvlJc w:val="left"/>
      <w:pPr>
        <w:tabs>
          <w:tab w:val="num" w:pos="1832"/>
        </w:tabs>
        <w:ind w:left="1832" w:hanging="1152"/>
      </w:pPr>
    </w:lvl>
    <w:lvl w:ilvl="6">
      <w:start w:val="1"/>
      <w:numFmt w:val="decimal"/>
      <w:pStyle w:val="Nadpis7"/>
      <w:lvlText w:val="%1.%2.%3.%4.%5.%6.%7"/>
      <w:lvlJc w:val="left"/>
      <w:pPr>
        <w:tabs>
          <w:tab w:val="num" w:pos="1976"/>
        </w:tabs>
        <w:ind w:left="1976" w:hanging="1296"/>
      </w:pPr>
    </w:lvl>
    <w:lvl w:ilvl="7">
      <w:start w:val="1"/>
      <w:numFmt w:val="decimal"/>
      <w:pStyle w:val="Nadpis8"/>
      <w:lvlText w:val="%1.%2.%3.%4.%5.%6.%7.%8"/>
      <w:lvlJc w:val="left"/>
      <w:pPr>
        <w:tabs>
          <w:tab w:val="num" w:pos="2120"/>
        </w:tabs>
        <w:ind w:left="2120" w:hanging="1440"/>
      </w:pPr>
    </w:lvl>
    <w:lvl w:ilvl="8">
      <w:start w:val="1"/>
      <w:numFmt w:val="decimal"/>
      <w:pStyle w:val="Nadpis9"/>
      <w:lvlText w:val="%1.%2.%3.%4.%5.%6.%7.%8.%9"/>
      <w:lvlJc w:val="left"/>
      <w:pPr>
        <w:tabs>
          <w:tab w:val="num" w:pos="2264"/>
        </w:tabs>
        <w:ind w:left="2264" w:hanging="1584"/>
      </w:pPr>
    </w:lvl>
  </w:abstractNum>
  <w:abstractNum w:abstractNumId="51">
    <w:nsid w:val="52B230AC"/>
    <w:multiLevelType w:val="singleLevel"/>
    <w:tmpl w:val="3BD850A4"/>
    <w:lvl w:ilvl="0">
      <w:start w:val="1"/>
      <w:numFmt w:val="decimal"/>
      <w:lvlText w:val="%1."/>
      <w:lvlJc w:val="left"/>
      <w:pPr>
        <w:tabs>
          <w:tab w:val="num" w:pos="360"/>
        </w:tabs>
        <w:ind w:left="360" w:hanging="360"/>
      </w:pPr>
      <w:rPr>
        <w:b w:val="0"/>
        <w:i w:val="0"/>
      </w:rPr>
    </w:lvl>
  </w:abstractNum>
  <w:abstractNum w:abstractNumId="52">
    <w:nsid w:val="52BA78EC"/>
    <w:multiLevelType w:val="hybridMultilevel"/>
    <w:tmpl w:val="8C62039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
    <w:nsid w:val="54381CC1"/>
    <w:multiLevelType w:val="hybridMultilevel"/>
    <w:tmpl w:val="88D83056"/>
    <w:lvl w:ilvl="0" w:tplc="041B0007">
      <w:start w:val="1"/>
      <w:numFmt w:val="bullet"/>
      <w:lvlText w:val=""/>
      <w:lvlJc w:val="left"/>
      <w:pPr>
        <w:ind w:left="720" w:hanging="360"/>
      </w:pPr>
      <w:rPr>
        <w:rFonts w:ascii="Wingdings" w:hAnsi="Wingdings" w:hint="default"/>
        <w:sz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nsid w:val="57312C4D"/>
    <w:multiLevelType w:val="hybridMultilevel"/>
    <w:tmpl w:val="76A87E3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5">
    <w:nsid w:val="57620D89"/>
    <w:multiLevelType w:val="hybridMultilevel"/>
    <w:tmpl w:val="D6783CF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6">
    <w:nsid w:val="59ED23C2"/>
    <w:multiLevelType w:val="hybridMultilevel"/>
    <w:tmpl w:val="EE6895A0"/>
    <w:lvl w:ilvl="0" w:tplc="041B0007">
      <w:start w:val="1"/>
      <w:numFmt w:val="bullet"/>
      <w:lvlText w:val=""/>
      <w:lvlJc w:val="left"/>
      <w:pPr>
        <w:ind w:left="720" w:hanging="360"/>
      </w:pPr>
      <w:rPr>
        <w:rFonts w:ascii="Wingdings" w:hAnsi="Wingdings" w:hint="default"/>
        <w:sz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nsid w:val="5A635259"/>
    <w:multiLevelType w:val="hybridMultilevel"/>
    <w:tmpl w:val="C7E07E1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8">
    <w:nsid w:val="5A745907"/>
    <w:multiLevelType w:val="hybridMultilevel"/>
    <w:tmpl w:val="6CCAEF4A"/>
    <w:lvl w:ilvl="0" w:tplc="041B0007">
      <w:start w:val="1"/>
      <w:numFmt w:val="bullet"/>
      <w:lvlText w:val=""/>
      <w:lvlJc w:val="left"/>
      <w:pPr>
        <w:ind w:left="720" w:hanging="360"/>
      </w:pPr>
      <w:rPr>
        <w:rFonts w:ascii="Wingdings" w:hAnsi="Wingdings" w:hint="default"/>
        <w:sz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nsid w:val="5BB02C7B"/>
    <w:multiLevelType w:val="hybridMultilevel"/>
    <w:tmpl w:val="2B8CF49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0">
    <w:nsid w:val="5DE31B8C"/>
    <w:multiLevelType w:val="hybridMultilevel"/>
    <w:tmpl w:val="F4727F70"/>
    <w:lvl w:ilvl="0" w:tplc="041B0007">
      <w:start w:val="1"/>
      <w:numFmt w:val="bullet"/>
      <w:lvlText w:val=""/>
      <w:lvlJc w:val="left"/>
      <w:pPr>
        <w:ind w:left="720" w:hanging="360"/>
      </w:pPr>
      <w:rPr>
        <w:rFonts w:ascii="Wingdings" w:hAnsi="Wingdings" w:hint="default"/>
        <w:sz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1">
    <w:nsid w:val="6041778E"/>
    <w:multiLevelType w:val="hybridMultilevel"/>
    <w:tmpl w:val="BD7273D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2">
    <w:nsid w:val="61345543"/>
    <w:multiLevelType w:val="hybridMultilevel"/>
    <w:tmpl w:val="7E7A6D5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3">
    <w:nsid w:val="617B6899"/>
    <w:multiLevelType w:val="hybridMultilevel"/>
    <w:tmpl w:val="25B28234"/>
    <w:lvl w:ilvl="0" w:tplc="041B0007">
      <w:start w:val="1"/>
      <w:numFmt w:val="bullet"/>
      <w:lvlText w:val=""/>
      <w:lvlJc w:val="left"/>
      <w:pPr>
        <w:ind w:left="720" w:hanging="360"/>
      </w:pPr>
      <w:rPr>
        <w:rFonts w:ascii="Wingdings" w:hAnsi="Wingdings" w:hint="default"/>
        <w:sz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4">
    <w:nsid w:val="61B05A18"/>
    <w:multiLevelType w:val="hybridMultilevel"/>
    <w:tmpl w:val="0C70769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5">
    <w:nsid w:val="64962BCA"/>
    <w:multiLevelType w:val="hybridMultilevel"/>
    <w:tmpl w:val="1F02EB0C"/>
    <w:lvl w:ilvl="0" w:tplc="041B0007">
      <w:start w:val="1"/>
      <w:numFmt w:val="bullet"/>
      <w:lvlText w:val=""/>
      <w:lvlJc w:val="left"/>
      <w:pPr>
        <w:ind w:left="720" w:hanging="360"/>
      </w:pPr>
      <w:rPr>
        <w:rFonts w:ascii="Wingdings" w:hAnsi="Wingdings" w:hint="default"/>
        <w:sz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6">
    <w:nsid w:val="65292158"/>
    <w:multiLevelType w:val="hybridMultilevel"/>
    <w:tmpl w:val="BC5241A0"/>
    <w:lvl w:ilvl="0" w:tplc="041B0007">
      <w:start w:val="1"/>
      <w:numFmt w:val="bullet"/>
      <w:lvlText w:val=""/>
      <w:lvlJc w:val="left"/>
      <w:pPr>
        <w:ind w:left="720" w:hanging="360"/>
      </w:pPr>
      <w:rPr>
        <w:rFonts w:ascii="Wingdings" w:hAnsi="Wingdings" w:hint="default"/>
        <w:sz w:val="16"/>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7">
    <w:nsid w:val="69052E89"/>
    <w:multiLevelType w:val="hybridMultilevel"/>
    <w:tmpl w:val="CF2089C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8">
    <w:nsid w:val="69983260"/>
    <w:multiLevelType w:val="hybridMultilevel"/>
    <w:tmpl w:val="B5142E2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9">
    <w:nsid w:val="6CBE7798"/>
    <w:multiLevelType w:val="hybridMultilevel"/>
    <w:tmpl w:val="CB88C64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0">
    <w:nsid w:val="6CD61CDD"/>
    <w:multiLevelType w:val="hybridMultilevel"/>
    <w:tmpl w:val="F5F66A8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1">
    <w:nsid w:val="6FDD4B60"/>
    <w:multiLevelType w:val="hybridMultilevel"/>
    <w:tmpl w:val="E7D2F1C6"/>
    <w:lvl w:ilvl="0" w:tplc="041B0007">
      <w:start w:val="1"/>
      <w:numFmt w:val="bullet"/>
      <w:lvlText w:val=""/>
      <w:lvlJc w:val="left"/>
      <w:pPr>
        <w:ind w:left="720" w:hanging="360"/>
      </w:pPr>
      <w:rPr>
        <w:rFonts w:ascii="Wingdings" w:hAnsi="Wingdings" w:hint="default"/>
        <w:sz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2">
    <w:nsid w:val="71D42981"/>
    <w:multiLevelType w:val="hybridMultilevel"/>
    <w:tmpl w:val="046AD77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3">
    <w:nsid w:val="742D3839"/>
    <w:multiLevelType w:val="hybridMultilevel"/>
    <w:tmpl w:val="42DC4468"/>
    <w:lvl w:ilvl="0" w:tplc="041B0007">
      <w:start w:val="1"/>
      <w:numFmt w:val="bullet"/>
      <w:lvlText w:val=""/>
      <w:lvlJc w:val="left"/>
      <w:pPr>
        <w:ind w:left="720" w:hanging="360"/>
      </w:pPr>
      <w:rPr>
        <w:rFonts w:ascii="Wingdings" w:hAnsi="Wingdings" w:hint="default"/>
        <w:sz w:val="16"/>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4">
    <w:nsid w:val="7651468C"/>
    <w:multiLevelType w:val="hybridMultilevel"/>
    <w:tmpl w:val="5E4CE218"/>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5">
    <w:nsid w:val="772C2C26"/>
    <w:multiLevelType w:val="hybridMultilevel"/>
    <w:tmpl w:val="F008077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6">
    <w:nsid w:val="77901B6D"/>
    <w:multiLevelType w:val="hybridMultilevel"/>
    <w:tmpl w:val="A226149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7">
    <w:nsid w:val="78895FD2"/>
    <w:multiLevelType w:val="hybridMultilevel"/>
    <w:tmpl w:val="A7DADFD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8">
    <w:nsid w:val="7AED35B9"/>
    <w:multiLevelType w:val="hybridMultilevel"/>
    <w:tmpl w:val="51B619D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9">
    <w:nsid w:val="7B1069CC"/>
    <w:multiLevelType w:val="hybridMultilevel"/>
    <w:tmpl w:val="1CD8CD40"/>
    <w:lvl w:ilvl="0" w:tplc="A83A675E">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0">
    <w:nsid w:val="7D090E14"/>
    <w:multiLevelType w:val="hybridMultilevel"/>
    <w:tmpl w:val="87F4002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1">
    <w:nsid w:val="7D9A595A"/>
    <w:multiLevelType w:val="hybridMultilevel"/>
    <w:tmpl w:val="105CD92E"/>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2">
    <w:nsid w:val="7FCA401C"/>
    <w:multiLevelType w:val="hybridMultilevel"/>
    <w:tmpl w:val="41F490EE"/>
    <w:lvl w:ilvl="0" w:tplc="041B0007">
      <w:start w:val="1"/>
      <w:numFmt w:val="bullet"/>
      <w:lvlText w:val=""/>
      <w:lvlJc w:val="left"/>
      <w:pPr>
        <w:ind w:left="720" w:hanging="360"/>
      </w:pPr>
      <w:rPr>
        <w:rFonts w:ascii="Wingdings" w:hAnsi="Wingdings" w:hint="default"/>
        <w:sz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8"/>
    <w:lvlOverride w:ilvl="0">
      <w:startOverride w:val="1"/>
    </w:lvlOverride>
  </w:num>
  <w:num w:numId="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37"/>
  </w:num>
  <w:num w:numId="15">
    <w:abstractNumId w:val="25"/>
  </w:num>
  <w:num w:numId="16">
    <w:abstractNumId w:val="18"/>
  </w:num>
  <w:num w:numId="17">
    <w:abstractNumId w:val="23"/>
  </w:num>
  <w:num w:numId="18">
    <w:abstractNumId w:val="64"/>
  </w:num>
  <w:num w:numId="19">
    <w:abstractNumId w:val="29"/>
  </w:num>
  <w:num w:numId="20">
    <w:abstractNumId w:val="74"/>
  </w:num>
  <w:num w:numId="21">
    <w:abstractNumId w:val="69"/>
  </w:num>
  <w:num w:numId="22">
    <w:abstractNumId w:val="59"/>
  </w:num>
  <w:num w:numId="23">
    <w:abstractNumId w:val="62"/>
  </w:num>
  <w:num w:numId="24">
    <w:abstractNumId w:val="48"/>
  </w:num>
  <w:num w:numId="25">
    <w:abstractNumId w:val="55"/>
  </w:num>
  <w:num w:numId="26">
    <w:abstractNumId w:val="33"/>
  </w:num>
  <w:num w:numId="27">
    <w:abstractNumId w:val="19"/>
  </w:num>
  <w:num w:numId="28">
    <w:abstractNumId w:val="70"/>
  </w:num>
  <w:num w:numId="29">
    <w:abstractNumId w:val="57"/>
  </w:num>
  <w:num w:numId="30">
    <w:abstractNumId w:val="20"/>
  </w:num>
  <w:num w:numId="31">
    <w:abstractNumId w:val="68"/>
  </w:num>
  <w:num w:numId="32">
    <w:abstractNumId w:val="72"/>
  </w:num>
  <w:num w:numId="33">
    <w:abstractNumId w:val="75"/>
  </w:num>
  <w:num w:numId="34">
    <w:abstractNumId w:val="79"/>
  </w:num>
  <w:num w:numId="35">
    <w:abstractNumId w:val="22"/>
  </w:num>
  <w:num w:numId="36">
    <w:abstractNumId w:val="61"/>
  </w:num>
  <w:num w:numId="37">
    <w:abstractNumId w:val="54"/>
  </w:num>
  <w:num w:numId="38">
    <w:abstractNumId w:val="35"/>
  </w:num>
  <w:num w:numId="39">
    <w:abstractNumId w:val="16"/>
  </w:num>
  <w:num w:numId="40">
    <w:abstractNumId w:val="81"/>
  </w:num>
  <w:num w:numId="41">
    <w:abstractNumId w:val="77"/>
  </w:num>
  <w:num w:numId="42">
    <w:abstractNumId w:val="27"/>
  </w:num>
  <w:num w:numId="43">
    <w:abstractNumId w:val="52"/>
  </w:num>
  <w:num w:numId="44">
    <w:abstractNumId w:val="13"/>
  </w:num>
  <w:num w:numId="45">
    <w:abstractNumId w:val="42"/>
  </w:num>
  <w:num w:numId="46">
    <w:abstractNumId w:val="56"/>
  </w:num>
  <w:num w:numId="47">
    <w:abstractNumId w:val="46"/>
  </w:num>
  <w:num w:numId="48">
    <w:abstractNumId w:val="28"/>
  </w:num>
  <w:num w:numId="49">
    <w:abstractNumId w:val="76"/>
  </w:num>
  <w:num w:numId="50">
    <w:abstractNumId w:val="40"/>
  </w:num>
  <w:num w:numId="51">
    <w:abstractNumId w:val="32"/>
  </w:num>
  <w:num w:numId="52">
    <w:abstractNumId w:val="11"/>
  </w:num>
  <w:num w:numId="53">
    <w:abstractNumId w:val="41"/>
  </w:num>
  <w:num w:numId="54">
    <w:abstractNumId w:val="63"/>
  </w:num>
  <w:num w:numId="55">
    <w:abstractNumId w:val="21"/>
  </w:num>
  <w:num w:numId="56">
    <w:abstractNumId w:val="65"/>
  </w:num>
  <w:num w:numId="57">
    <w:abstractNumId w:val="80"/>
  </w:num>
  <w:num w:numId="58">
    <w:abstractNumId w:val="67"/>
  </w:num>
  <w:num w:numId="59">
    <w:abstractNumId w:val="17"/>
  </w:num>
  <w:num w:numId="60">
    <w:abstractNumId w:val="30"/>
  </w:num>
  <w:num w:numId="61">
    <w:abstractNumId w:val="12"/>
  </w:num>
  <w:num w:numId="62">
    <w:abstractNumId w:val="53"/>
  </w:num>
  <w:num w:numId="63">
    <w:abstractNumId w:val="31"/>
  </w:num>
  <w:num w:numId="64">
    <w:abstractNumId w:val="49"/>
  </w:num>
  <w:num w:numId="65">
    <w:abstractNumId w:val="34"/>
  </w:num>
  <w:num w:numId="66">
    <w:abstractNumId w:val="38"/>
  </w:num>
  <w:num w:numId="67">
    <w:abstractNumId w:val="45"/>
  </w:num>
  <w:num w:numId="68">
    <w:abstractNumId w:val="14"/>
  </w:num>
  <w:num w:numId="69">
    <w:abstractNumId w:val="24"/>
  </w:num>
  <w:num w:numId="70">
    <w:abstractNumId w:val="60"/>
  </w:num>
  <w:num w:numId="71">
    <w:abstractNumId w:val="47"/>
  </w:num>
  <w:num w:numId="72">
    <w:abstractNumId w:val="36"/>
  </w:num>
  <w:num w:numId="73">
    <w:abstractNumId w:val="58"/>
  </w:num>
  <w:num w:numId="74">
    <w:abstractNumId w:val="51"/>
  </w:num>
  <w:num w:numId="75">
    <w:abstractNumId w:val="15"/>
  </w:num>
  <w:num w:numId="76">
    <w:abstractNumId w:val="78"/>
  </w:num>
  <w:num w:numId="77">
    <w:abstractNumId w:val="82"/>
  </w:num>
  <w:num w:numId="78">
    <w:abstractNumId w:val="10"/>
  </w:num>
  <w:num w:numId="79">
    <w:abstractNumId w:val="39"/>
  </w:num>
  <w:num w:numId="80">
    <w:abstractNumId w:val="44"/>
  </w:num>
  <w:num w:numId="81">
    <w:abstractNumId w:val="66"/>
  </w:num>
  <w:num w:numId="82">
    <w:abstractNumId w:val="73"/>
  </w:num>
  <w:num w:numId="83">
    <w:abstractNumId w:val="71"/>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ttachedTemplate r:id="rId1"/>
  <w:defaultTabStop w:val="720"/>
  <w:hyphenationZone w:val="420"/>
  <w:noPunctuationKerning/>
  <w:characterSpacingControl w:val="doNotCompress"/>
  <w:footnotePr>
    <w:footnote w:id="-1"/>
    <w:footnote w:id="0"/>
  </w:footnotePr>
  <w:endnotePr>
    <w:endnote w:id="-1"/>
    <w:endnote w:id="0"/>
  </w:endnotePr>
  <w:compat>
    <w:useFELayout/>
  </w:compat>
  <w:rsids>
    <w:rsidRoot w:val="00F76F4F"/>
    <w:rsid w:val="00036072"/>
    <w:rsid w:val="00043359"/>
    <w:rsid w:val="000518AB"/>
    <w:rsid w:val="00075825"/>
    <w:rsid w:val="000E420B"/>
    <w:rsid w:val="00121F5C"/>
    <w:rsid w:val="00130609"/>
    <w:rsid w:val="00136606"/>
    <w:rsid w:val="001E5392"/>
    <w:rsid w:val="001F0B8C"/>
    <w:rsid w:val="00215328"/>
    <w:rsid w:val="00220FFC"/>
    <w:rsid w:val="00224A83"/>
    <w:rsid w:val="002552E4"/>
    <w:rsid w:val="002552E7"/>
    <w:rsid w:val="00257616"/>
    <w:rsid w:val="00261676"/>
    <w:rsid w:val="002733A0"/>
    <w:rsid w:val="002748C0"/>
    <w:rsid w:val="002A043E"/>
    <w:rsid w:val="002F2C6A"/>
    <w:rsid w:val="00317741"/>
    <w:rsid w:val="00336A16"/>
    <w:rsid w:val="00362986"/>
    <w:rsid w:val="003740C0"/>
    <w:rsid w:val="003747F5"/>
    <w:rsid w:val="003C25D3"/>
    <w:rsid w:val="003C3829"/>
    <w:rsid w:val="003E6221"/>
    <w:rsid w:val="00404D24"/>
    <w:rsid w:val="00405E53"/>
    <w:rsid w:val="00410378"/>
    <w:rsid w:val="004129E6"/>
    <w:rsid w:val="00413360"/>
    <w:rsid w:val="00413DD3"/>
    <w:rsid w:val="004576F5"/>
    <w:rsid w:val="00472F63"/>
    <w:rsid w:val="00481103"/>
    <w:rsid w:val="004B170E"/>
    <w:rsid w:val="004B17C8"/>
    <w:rsid w:val="004B764A"/>
    <w:rsid w:val="004C2C3A"/>
    <w:rsid w:val="004F64F9"/>
    <w:rsid w:val="005044F0"/>
    <w:rsid w:val="00526C11"/>
    <w:rsid w:val="005647CB"/>
    <w:rsid w:val="00597443"/>
    <w:rsid w:val="005C08A2"/>
    <w:rsid w:val="005D4529"/>
    <w:rsid w:val="005E610B"/>
    <w:rsid w:val="006803C0"/>
    <w:rsid w:val="006B1F71"/>
    <w:rsid w:val="006B3404"/>
    <w:rsid w:val="006C2E13"/>
    <w:rsid w:val="00712F59"/>
    <w:rsid w:val="00741D82"/>
    <w:rsid w:val="00742692"/>
    <w:rsid w:val="00757024"/>
    <w:rsid w:val="007A200B"/>
    <w:rsid w:val="007A73E2"/>
    <w:rsid w:val="007C5293"/>
    <w:rsid w:val="007D12E4"/>
    <w:rsid w:val="008064B1"/>
    <w:rsid w:val="008136AE"/>
    <w:rsid w:val="00842DC6"/>
    <w:rsid w:val="00855BB9"/>
    <w:rsid w:val="00893570"/>
    <w:rsid w:val="008A19EF"/>
    <w:rsid w:val="008A2E6C"/>
    <w:rsid w:val="008A71B0"/>
    <w:rsid w:val="008C1B7E"/>
    <w:rsid w:val="008F145A"/>
    <w:rsid w:val="0092607F"/>
    <w:rsid w:val="009429C0"/>
    <w:rsid w:val="00956A22"/>
    <w:rsid w:val="009648D1"/>
    <w:rsid w:val="0098758A"/>
    <w:rsid w:val="009C56F9"/>
    <w:rsid w:val="00A06250"/>
    <w:rsid w:val="00A30D85"/>
    <w:rsid w:val="00A37004"/>
    <w:rsid w:val="00A727DA"/>
    <w:rsid w:val="00A87163"/>
    <w:rsid w:val="00A93573"/>
    <w:rsid w:val="00AB041C"/>
    <w:rsid w:val="00AC5AE9"/>
    <w:rsid w:val="00AE2F99"/>
    <w:rsid w:val="00AE31CC"/>
    <w:rsid w:val="00B02C11"/>
    <w:rsid w:val="00B0786E"/>
    <w:rsid w:val="00B431A5"/>
    <w:rsid w:val="00B5102F"/>
    <w:rsid w:val="00B560E4"/>
    <w:rsid w:val="00B57389"/>
    <w:rsid w:val="00B64B41"/>
    <w:rsid w:val="00B87D4E"/>
    <w:rsid w:val="00B94ACA"/>
    <w:rsid w:val="00BA2AD8"/>
    <w:rsid w:val="00BF68F4"/>
    <w:rsid w:val="00C04C25"/>
    <w:rsid w:val="00C07E1F"/>
    <w:rsid w:val="00C25F2B"/>
    <w:rsid w:val="00C632DB"/>
    <w:rsid w:val="00CA2377"/>
    <w:rsid w:val="00CA4810"/>
    <w:rsid w:val="00CC47DB"/>
    <w:rsid w:val="00CC7A6C"/>
    <w:rsid w:val="00CD2E87"/>
    <w:rsid w:val="00CE6825"/>
    <w:rsid w:val="00CF141A"/>
    <w:rsid w:val="00D03D94"/>
    <w:rsid w:val="00D31A1F"/>
    <w:rsid w:val="00D32F63"/>
    <w:rsid w:val="00D43D1E"/>
    <w:rsid w:val="00D65BBB"/>
    <w:rsid w:val="00D77A50"/>
    <w:rsid w:val="00DF10EE"/>
    <w:rsid w:val="00E1586F"/>
    <w:rsid w:val="00E162BF"/>
    <w:rsid w:val="00E16B17"/>
    <w:rsid w:val="00E30147"/>
    <w:rsid w:val="00E42194"/>
    <w:rsid w:val="00E45149"/>
    <w:rsid w:val="00E502AF"/>
    <w:rsid w:val="00E5603E"/>
    <w:rsid w:val="00E704D7"/>
    <w:rsid w:val="00E713D6"/>
    <w:rsid w:val="00EC4997"/>
    <w:rsid w:val="00EF0997"/>
    <w:rsid w:val="00F16217"/>
    <w:rsid w:val="00F37BC7"/>
    <w:rsid w:val="00F76F4F"/>
    <w:rsid w:val="00FB2670"/>
    <w:rsid w:val="00FB29CE"/>
    <w:rsid w:val="00FB319B"/>
    <w:rsid w:val="00FD4A24"/>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0" w:unhideWhenUsed="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713D6"/>
    <w:pPr>
      <w:spacing w:before="60" w:line="360" w:lineRule="auto"/>
      <w:jc w:val="both"/>
    </w:pPr>
    <w:rPr>
      <w:rFonts w:eastAsia="Times New Roman"/>
      <w:sz w:val="24"/>
      <w:szCs w:val="24"/>
      <w:lang w:eastAsia="en-US"/>
    </w:rPr>
  </w:style>
  <w:style w:type="paragraph" w:styleId="Nadpis1">
    <w:name w:val="heading 1"/>
    <w:basedOn w:val="Normlny"/>
    <w:next w:val="Normlny"/>
    <w:qFormat/>
    <w:rsid w:val="00E713D6"/>
    <w:pPr>
      <w:keepNext/>
      <w:numPr>
        <w:numId w:val="1"/>
      </w:numPr>
      <w:spacing w:before="240" w:after="60"/>
      <w:outlineLvl w:val="0"/>
    </w:pPr>
    <w:rPr>
      <w:rFonts w:ascii="Arial" w:hAnsi="Arial" w:cs="Arial"/>
      <w:b/>
      <w:bCs/>
      <w:kern w:val="32"/>
      <w:sz w:val="32"/>
      <w:szCs w:val="32"/>
    </w:rPr>
  </w:style>
  <w:style w:type="paragraph" w:styleId="Nadpis2">
    <w:name w:val="heading 2"/>
    <w:basedOn w:val="Normlny"/>
    <w:next w:val="Normlny"/>
    <w:qFormat/>
    <w:rsid w:val="00E713D6"/>
    <w:pPr>
      <w:keepNext/>
      <w:spacing w:before="240" w:after="60"/>
      <w:outlineLvl w:val="1"/>
    </w:pPr>
    <w:rPr>
      <w:rFonts w:ascii="Arial" w:hAnsi="Arial" w:cs="Arial"/>
      <w:b/>
      <w:bCs/>
      <w:i/>
      <w:iCs/>
      <w:sz w:val="28"/>
      <w:szCs w:val="28"/>
    </w:rPr>
  </w:style>
  <w:style w:type="paragraph" w:styleId="Nadpis3">
    <w:name w:val="heading 3"/>
    <w:basedOn w:val="Normlny"/>
    <w:next w:val="Normlny"/>
    <w:link w:val="Nadpis3Char"/>
    <w:qFormat/>
    <w:rsid w:val="00E713D6"/>
    <w:pPr>
      <w:keepNext/>
      <w:numPr>
        <w:ilvl w:val="2"/>
        <w:numId w:val="1"/>
      </w:numPr>
      <w:spacing w:before="240" w:after="60"/>
      <w:outlineLvl w:val="2"/>
    </w:pPr>
    <w:rPr>
      <w:rFonts w:ascii="Arial" w:hAnsi="Arial" w:cs="Arial"/>
      <w:b/>
      <w:bCs/>
      <w:sz w:val="26"/>
      <w:szCs w:val="26"/>
    </w:rPr>
  </w:style>
  <w:style w:type="paragraph" w:styleId="Nadpis4">
    <w:name w:val="heading 4"/>
    <w:basedOn w:val="Normlny"/>
    <w:next w:val="Normlny"/>
    <w:autoRedefine/>
    <w:qFormat/>
    <w:rsid w:val="004129E6"/>
    <w:pPr>
      <w:keepNext/>
      <w:numPr>
        <w:ilvl w:val="3"/>
        <w:numId w:val="2"/>
      </w:numPr>
      <w:spacing w:before="240" w:after="60"/>
      <w:outlineLvl w:val="3"/>
    </w:pPr>
    <w:rPr>
      <w:szCs w:val="28"/>
    </w:rPr>
  </w:style>
  <w:style w:type="paragraph" w:styleId="Nadpis5">
    <w:name w:val="heading 5"/>
    <w:basedOn w:val="Normlny"/>
    <w:next w:val="Normlny"/>
    <w:qFormat/>
    <w:rsid w:val="00E713D6"/>
    <w:pPr>
      <w:numPr>
        <w:ilvl w:val="4"/>
        <w:numId w:val="2"/>
      </w:numPr>
      <w:spacing w:before="240" w:after="60"/>
      <w:outlineLvl w:val="4"/>
    </w:pPr>
    <w:rPr>
      <w:b/>
      <w:bCs/>
      <w:i/>
      <w:iCs/>
      <w:sz w:val="26"/>
      <w:szCs w:val="26"/>
    </w:rPr>
  </w:style>
  <w:style w:type="paragraph" w:styleId="Nadpis6">
    <w:name w:val="heading 6"/>
    <w:basedOn w:val="Normlny"/>
    <w:next w:val="Normlny"/>
    <w:qFormat/>
    <w:rsid w:val="00E713D6"/>
    <w:pPr>
      <w:numPr>
        <w:ilvl w:val="5"/>
        <w:numId w:val="2"/>
      </w:numPr>
      <w:spacing w:before="240" w:after="60"/>
      <w:outlineLvl w:val="5"/>
    </w:pPr>
    <w:rPr>
      <w:b/>
      <w:bCs/>
      <w:sz w:val="22"/>
      <w:szCs w:val="22"/>
    </w:rPr>
  </w:style>
  <w:style w:type="paragraph" w:styleId="Nadpis7">
    <w:name w:val="heading 7"/>
    <w:basedOn w:val="Normlny"/>
    <w:next w:val="Normlny"/>
    <w:qFormat/>
    <w:rsid w:val="00E713D6"/>
    <w:pPr>
      <w:numPr>
        <w:ilvl w:val="6"/>
        <w:numId w:val="1"/>
      </w:numPr>
      <w:spacing w:before="240" w:after="60"/>
      <w:outlineLvl w:val="6"/>
    </w:pPr>
  </w:style>
  <w:style w:type="paragraph" w:styleId="Nadpis8">
    <w:name w:val="heading 8"/>
    <w:basedOn w:val="Normlny"/>
    <w:next w:val="Normlny"/>
    <w:qFormat/>
    <w:rsid w:val="00E713D6"/>
    <w:pPr>
      <w:numPr>
        <w:ilvl w:val="7"/>
        <w:numId w:val="1"/>
      </w:numPr>
      <w:spacing w:before="240" w:after="60"/>
      <w:outlineLvl w:val="7"/>
    </w:pPr>
    <w:rPr>
      <w:i/>
      <w:iCs/>
    </w:rPr>
  </w:style>
  <w:style w:type="paragraph" w:styleId="Nadpis9">
    <w:name w:val="heading 9"/>
    <w:basedOn w:val="Normlny"/>
    <w:next w:val="Normlny"/>
    <w:qFormat/>
    <w:rsid w:val="00E713D6"/>
    <w:pPr>
      <w:numPr>
        <w:ilvl w:val="8"/>
        <w:numId w:val="1"/>
      </w:numPr>
      <w:spacing w:before="240" w:after="60"/>
      <w:outlineLvl w:val="8"/>
    </w:pPr>
    <w:rPr>
      <w:rFonts w:ascii="Arial" w:hAnsi="Arial" w:cs="Arial"/>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rsid w:val="00E713D6"/>
    <w:rPr>
      <w:color w:val="0000FF"/>
      <w:u w:val="single"/>
    </w:rPr>
  </w:style>
  <w:style w:type="character" w:styleId="PouitHypertextovPrepojenie">
    <w:name w:val="FollowedHyperlink"/>
    <w:basedOn w:val="Predvolenpsmoodseku"/>
    <w:rsid w:val="00E713D6"/>
    <w:rPr>
      <w:color w:val="800080"/>
      <w:u w:val="single"/>
    </w:rPr>
  </w:style>
  <w:style w:type="character" w:styleId="Siln">
    <w:name w:val="Strong"/>
    <w:basedOn w:val="Predvolenpsmoodseku"/>
    <w:uiPriority w:val="22"/>
    <w:qFormat/>
    <w:rsid w:val="00E713D6"/>
    <w:rPr>
      <w:rFonts w:ascii="Times New Roman" w:hAnsi="Times New Roman" w:cs="Times New Roman" w:hint="default"/>
      <w:b/>
      <w:bCs/>
    </w:rPr>
  </w:style>
  <w:style w:type="paragraph" w:styleId="Normlnywebov">
    <w:name w:val="Normal (Web)"/>
    <w:basedOn w:val="Normlny"/>
    <w:semiHidden/>
    <w:rsid w:val="00E713D6"/>
    <w:pPr>
      <w:spacing w:before="100" w:beforeAutospacing="1" w:after="100" w:afterAutospacing="1" w:line="240" w:lineRule="auto"/>
      <w:jc w:val="left"/>
    </w:pPr>
    <w:rPr>
      <w:rFonts w:ascii="Arial Unicode MS" w:eastAsia="Arial Unicode MS" w:hAnsi="Arial Unicode MS" w:cs="Arial Unicode MS"/>
      <w:color w:val="000000"/>
      <w:lang w:val="en-US"/>
    </w:rPr>
  </w:style>
  <w:style w:type="paragraph" w:styleId="Obsah1">
    <w:name w:val="toc 1"/>
    <w:next w:val="Normlny"/>
    <w:semiHidden/>
    <w:rsid w:val="00E713D6"/>
    <w:pPr>
      <w:tabs>
        <w:tab w:val="right" w:leader="dot" w:pos="8493"/>
      </w:tabs>
      <w:spacing w:line="360" w:lineRule="auto"/>
      <w:ind w:left="340" w:right="567" w:hanging="340"/>
    </w:pPr>
    <w:rPr>
      <w:rFonts w:eastAsia="Times New Roman"/>
      <w:b/>
      <w:bCs/>
      <w:noProof/>
      <w:sz w:val="24"/>
      <w:szCs w:val="32"/>
      <w:lang w:eastAsia="en-US"/>
    </w:rPr>
  </w:style>
  <w:style w:type="paragraph" w:styleId="Obsah2">
    <w:name w:val="toc 2"/>
    <w:basedOn w:val="Obsah1"/>
    <w:next w:val="Normlny"/>
    <w:semiHidden/>
    <w:rsid w:val="00E713D6"/>
    <w:pPr>
      <w:tabs>
        <w:tab w:val="left" w:pos="680"/>
        <w:tab w:val="left" w:pos="765"/>
      </w:tabs>
      <w:ind w:left="397" w:hanging="284"/>
    </w:pPr>
    <w:rPr>
      <w:b w:val="0"/>
      <w:bCs w:val="0"/>
      <w:szCs w:val="28"/>
    </w:rPr>
  </w:style>
  <w:style w:type="paragraph" w:styleId="Obsah3">
    <w:name w:val="toc 3"/>
    <w:basedOn w:val="Obsah2"/>
    <w:next w:val="Normlny"/>
    <w:semiHidden/>
    <w:rsid w:val="00E713D6"/>
    <w:pPr>
      <w:tabs>
        <w:tab w:val="clear" w:pos="680"/>
        <w:tab w:val="clear" w:pos="765"/>
        <w:tab w:val="left" w:pos="1134"/>
      </w:tabs>
      <w:ind w:left="681"/>
    </w:pPr>
    <w:rPr>
      <w:iCs/>
      <w:szCs w:val="24"/>
    </w:rPr>
  </w:style>
  <w:style w:type="paragraph" w:styleId="Textpoznmkypodiarou">
    <w:name w:val="footnote text"/>
    <w:basedOn w:val="Normlny"/>
    <w:semiHidden/>
    <w:rsid w:val="00E713D6"/>
    <w:pPr>
      <w:spacing w:before="0" w:line="240" w:lineRule="auto"/>
      <w:jc w:val="left"/>
    </w:pPr>
    <w:rPr>
      <w:sz w:val="20"/>
      <w:szCs w:val="20"/>
    </w:rPr>
  </w:style>
  <w:style w:type="paragraph" w:styleId="Textkomentra">
    <w:name w:val="annotation text"/>
    <w:basedOn w:val="Normlny"/>
    <w:semiHidden/>
    <w:rsid w:val="00E713D6"/>
    <w:rPr>
      <w:sz w:val="20"/>
      <w:szCs w:val="20"/>
    </w:rPr>
  </w:style>
  <w:style w:type="paragraph" w:styleId="Pta">
    <w:name w:val="footer"/>
    <w:basedOn w:val="Normlny"/>
    <w:rsid w:val="00E713D6"/>
    <w:pPr>
      <w:tabs>
        <w:tab w:val="center" w:pos="4536"/>
        <w:tab w:val="right" w:pos="9072"/>
      </w:tabs>
    </w:pPr>
  </w:style>
  <w:style w:type="paragraph" w:styleId="Hlavika">
    <w:name w:val="header"/>
    <w:basedOn w:val="Pta"/>
    <w:rsid w:val="00E713D6"/>
    <w:pPr>
      <w:tabs>
        <w:tab w:val="clear" w:pos="4536"/>
        <w:tab w:val="clear" w:pos="9072"/>
        <w:tab w:val="center" w:pos="4253"/>
        <w:tab w:val="right" w:pos="8505"/>
      </w:tabs>
      <w:spacing w:before="0"/>
    </w:pPr>
    <w:rPr>
      <w:szCs w:val="20"/>
      <w:lang w:eastAsia="cs-CZ"/>
    </w:rPr>
  </w:style>
  <w:style w:type="paragraph" w:styleId="Zoznamsodrkami">
    <w:name w:val="List Bullet"/>
    <w:basedOn w:val="Normlny"/>
    <w:autoRedefine/>
    <w:semiHidden/>
    <w:rsid w:val="00E713D6"/>
    <w:pPr>
      <w:numPr>
        <w:numId w:val="3"/>
      </w:numPr>
    </w:pPr>
  </w:style>
  <w:style w:type="paragraph" w:styleId="slovanzoznam">
    <w:name w:val="List Number"/>
    <w:basedOn w:val="Normlny"/>
    <w:semiHidden/>
    <w:rsid w:val="00E713D6"/>
    <w:pPr>
      <w:numPr>
        <w:numId w:val="4"/>
      </w:numPr>
    </w:pPr>
  </w:style>
  <w:style w:type="paragraph" w:styleId="Zkladntext">
    <w:name w:val="Body Text"/>
    <w:basedOn w:val="Normlny"/>
    <w:rsid w:val="00E713D6"/>
    <w:pPr>
      <w:spacing w:before="0" w:line="240" w:lineRule="auto"/>
    </w:pPr>
    <w:rPr>
      <w:lang w:eastAsia="cs-CZ"/>
    </w:rPr>
  </w:style>
  <w:style w:type="character" w:customStyle="1" w:styleId="ZPNormalnyTextCharChar">
    <w:name w:val="ZP_NormalnyText Char Char"/>
    <w:basedOn w:val="Predvolenpsmoodseku"/>
    <w:locked/>
    <w:rsid w:val="00E713D6"/>
    <w:rPr>
      <w:rFonts w:eastAsia="Times New Roman"/>
      <w:sz w:val="24"/>
      <w:lang w:val="sk-SK" w:eastAsia="en-US" w:bidi="ar-SA"/>
    </w:rPr>
  </w:style>
  <w:style w:type="paragraph" w:customStyle="1" w:styleId="ZPNormalnyText">
    <w:name w:val="ZP_NormalnyText"/>
    <w:autoRedefine/>
    <w:rsid w:val="00956A22"/>
    <w:pPr>
      <w:tabs>
        <w:tab w:val="left" w:pos="709"/>
      </w:tabs>
      <w:spacing w:before="60" w:line="360" w:lineRule="auto"/>
      <w:jc w:val="both"/>
    </w:pPr>
    <w:rPr>
      <w:rFonts w:eastAsia="Times New Roman"/>
      <w:sz w:val="24"/>
      <w:szCs w:val="24"/>
      <w:lang w:eastAsia="en-US"/>
    </w:rPr>
  </w:style>
  <w:style w:type="paragraph" w:customStyle="1" w:styleId="NadpisKapitoly">
    <w:name w:val="Nadpis Kapitoly"/>
    <w:basedOn w:val="ZPNormalnyText"/>
    <w:next w:val="ZPNormalnyText"/>
    <w:semiHidden/>
    <w:rsid w:val="00E713D6"/>
    <w:pPr>
      <w:pageBreakBefore/>
      <w:numPr>
        <w:numId w:val="2"/>
      </w:numPr>
      <w:spacing w:before="240" w:after="60"/>
      <w:outlineLvl w:val="0"/>
    </w:pPr>
    <w:rPr>
      <w:rFonts w:ascii="Arial" w:hAnsi="Arial"/>
      <w:b/>
      <w:sz w:val="32"/>
    </w:rPr>
  </w:style>
  <w:style w:type="paragraph" w:customStyle="1" w:styleId="PodNadpisKapitoly">
    <w:name w:val="PodNadpis Kapitoly"/>
    <w:basedOn w:val="NadpisKapitoly"/>
    <w:next w:val="ZPNormalnyText"/>
    <w:semiHidden/>
    <w:rsid w:val="00E713D6"/>
    <w:pPr>
      <w:keepNext/>
      <w:pageBreakBefore w:val="0"/>
      <w:numPr>
        <w:ilvl w:val="1"/>
      </w:numPr>
      <w:spacing w:before="180"/>
      <w:outlineLvl w:val="1"/>
    </w:pPr>
    <w:rPr>
      <w:sz w:val="28"/>
    </w:rPr>
  </w:style>
  <w:style w:type="paragraph" w:customStyle="1" w:styleId="PodNadpis3uroven">
    <w:name w:val="PodNadpis 3.uroven"/>
    <w:basedOn w:val="PodNadpisKapitoly"/>
    <w:next w:val="ZPNormalnyText"/>
    <w:semiHidden/>
    <w:rsid w:val="00E713D6"/>
    <w:pPr>
      <w:numPr>
        <w:ilvl w:val="2"/>
      </w:numPr>
      <w:spacing w:before="120"/>
      <w:outlineLvl w:val="2"/>
    </w:pPr>
    <w:rPr>
      <w:sz w:val="24"/>
    </w:rPr>
  </w:style>
  <w:style w:type="paragraph" w:customStyle="1" w:styleId="AnalytickyList">
    <w:name w:val="Analyticky List"/>
    <w:basedOn w:val="ZPNormalnyText"/>
    <w:semiHidden/>
    <w:rsid w:val="00E713D6"/>
    <w:pPr>
      <w:spacing w:before="0"/>
      <w:jc w:val="left"/>
    </w:pPr>
  </w:style>
  <w:style w:type="paragraph" w:customStyle="1" w:styleId="Rovnice">
    <w:name w:val="Rovnice"/>
    <w:basedOn w:val="ZPNormalnyText"/>
    <w:next w:val="ZPNormalnyText"/>
    <w:semiHidden/>
    <w:rsid w:val="00E713D6"/>
    <w:pPr>
      <w:jc w:val="center"/>
    </w:pPr>
    <w:rPr>
      <w:i/>
    </w:rPr>
  </w:style>
  <w:style w:type="paragraph" w:customStyle="1" w:styleId="ZPTabulka">
    <w:name w:val="ZP_Tabulka"/>
    <w:basedOn w:val="ZPNormalnyText"/>
    <w:autoRedefine/>
    <w:rsid w:val="00E713D6"/>
    <w:pPr>
      <w:tabs>
        <w:tab w:val="decimal" w:pos="567"/>
      </w:tabs>
      <w:spacing w:before="80" w:after="80" w:line="240" w:lineRule="auto"/>
    </w:pPr>
  </w:style>
  <w:style w:type="paragraph" w:customStyle="1" w:styleId="ZoznamLiteratury">
    <w:name w:val="Zoznam Literatury"/>
    <w:basedOn w:val="ZPNormalnyText"/>
    <w:autoRedefine/>
    <w:semiHidden/>
    <w:rsid w:val="00E713D6"/>
    <w:pPr>
      <w:spacing w:line="288" w:lineRule="auto"/>
    </w:pPr>
  </w:style>
  <w:style w:type="paragraph" w:customStyle="1" w:styleId="ZPObal">
    <w:name w:val="ZP_Obal"/>
    <w:next w:val="ZPNormalnyText"/>
    <w:autoRedefine/>
    <w:rsid w:val="00E713D6"/>
    <w:pPr>
      <w:keepNext/>
      <w:widowControl w:val="0"/>
      <w:spacing w:before="60" w:line="360" w:lineRule="auto"/>
    </w:pPr>
    <w:rPr>
      <w:rFonts w:eastAsia="Times New Roman" w:cs="Arial"/>
      <w:b/>
      <w:bCs/>
      <w:sz w:val="28"/>
      <w:lang w:eastAsia="en-US"/>
    </w:rPr>
  </w:style>
  <w:style w:type="paragraph" w:customStyle="1" w:styleId="xdpObalB">
    <w:name w:val="xdp_Obal_B"/>
    <w:basedOn w:val="ZPObal"/>
    <w:semiHidden/>
    <w:rsid w:val="00E713D6"/>
    <w:rPr>
      <w:bCs w:val="0"/>
      <w:caps/>
    </w:rPr>
  </w:style>
  <w:style w:type="paragraph" w:customStyle="1" w:styleId="xdpObalC">
    <w:name w:val="xdp_Obal_C"/>
    <w:basedOn w:val="ZPObal"/>
    <w:semiHidden/>
    <w:rsid w:val="00E713D6"/>
    <w:rPr>
      <w:bCs w:val="0"/>
      <w:sz w:val="32"/>
    </w:rPr>
  </w:style>
  <w:style w:type="paragraph" w:customStyle="1" w:styleId="ZPNazovPrace">
    <w:name w:val="ZP_NazovPrace"/>
    <w:autoRedefine/>
    <w:rsid w:val="00E713D6"/>
    <w:pPr>
      <w:spacing w:line="360" w:lineRule="auto"/>
      <w:jc w:val="center"/>
    </w:pPr>
    <w:rPr>
      <w:rFonts w:eastAsia="Times New Roman"/>
      <w:b/>
      <w:caps/>
      <w:sz w:val="32"/>
      <w:lang w:eastAsia="en-US"/>
    </w:rPr>
  </w:style>
  <w:style w:type="paragraph" w:customStyle="1" w:styleId="xdpObalJ">
    <w:name w:val="xdp_Obal_J"/>
    <w:basedOn w:val="ZPObal"/>
    <w:semiHidden/>
    <w:rsid w:val="00E713D6"/>
  </w:style>
  <w:style w:type="paragraph" w:customStyle="1" w:styleId="xdpObalM">
    <w:name w:val="xdp_Obal_M"/>
    <w:basedOn w:val="xdpObalJ"/>
    <w:semiHidden/>
    <w:rsid w:val="00E713D6"/>
    <w:rPr>
      <w:sz w:val="32"/>
    </w:rPr>
  </w:style>
  <w:style w:type="paragraph" w:customStyle="1" w:styleId="xdpObalO">
    <w:name w:val="xdp_Obal_O"/>
    <w:basedOn w:val="xdpObalJ"/>
    <w:semiHidden/>
    <w:rsid w:val="00E713D6"/>
    <w:rPr>
      <w:sz w:val="24"/>
    </w:rPr>
  </w:style>
  <w:style w:type="paragraph" w:customStyle="1" w:styleId="xdpObalK">
    <w:name w:val="xdp_Obal_K"/>
    <w:basedOn w:val="xdpObalM"/>
    <w:semiHidden/>
    <w:rsid w:val="00E713D6"/>
    <w:rPr>
      <w:b w:val="0"/>
    </w:rPr>
  </w:style>
  <w:style w:type="paragraph" w:customStyle="1" w:styleId="ZPTypPrace">
    <w:name w:val="ZP_TypPrace"/>
    <w:autoRedefine/>
    <w:rsid w:val="00E713D6"/>
    <w:pPr>
      <w:spacing w:line="360" w:lineRule="auto"/>
      <w:jc w:val="center"/>
    </w:pPr>
    <w:rPr>
      <w:rFonts w:eastAsia="Times New Roman" w:cs="Arial"/>
      <w:b/>
      <w:bCs/>
      <w:caps/>
      <w:sz w:val="32"/>
      <w:lang w:eastAsia="en-US"/>
    </w:rPr>
  </w:style>
  <w:style w:type="paragraph" w:styleId="Popis">
    <w:name w:val="caption"/>
    <w:aliases w:val=" Char Char"/>
    <w:basedOn w:val="ZPNormalnyText"/>
    <w:next w:val="ZPNormalnyText"/>
    <w:qFormat/>
    <w:rsid w:val="00E713D6"/>
    <w:pPr>
      <w:spacing w:after="60"/>
      <w:jc w:val="center"/>
    </w:pPr>
    <w:rPr>
      <w:b/>
      <w:bCs/>
      <w:sz w:val="20"/>
    </w:rPr>
  </w:style>
  <w:style w:type="character" w:customStyle="1" w:styleId="ZPCaptionPopiska-Caption12ptCharChar">
    <w:name w:val="ZP_Caption;Popiska-Caption + 12 pt Char Char"/>
    <w:basedOn w:val="Predvolenpsmoodseku"/>
    <w:locked/>
    <w:rsid w:val="00E713D6"/>
    <w:rPr>
      <w:b/>
      <w:bCs/>
      <w:sz w:val="24"/>
      <w:szCs w:val="24"/>
      <w:lang w:val="sk-SK" w:eastAsia="en-US" w:bidi="ar-SA"/>
    </w:rPr>
  </w:style>
  <w:style w:type="paragraph" w:customStyle="1" w:styleId="ZPCaption">
    <w:name w:val="ZP_Caption"/>
    <w:aliases w:val="Popiska-Caption + 12 pt"/>
    <w:basedOn w:val="Popis"/>
    <w:next w:val="Popis"/>
    <w:autoRedefine/>
    <w:rsid w:val="00E713D6"/>
    <w:rPr>
      <w:sz w:val="24"/>
    </w:rPr>
  </w:style>
  <w:style w:type="paragraph" w:customStyle="1" w:styleId="odsek">
    <w:name w:val="odsek"/>
    <w:basedOn w:val="Normlny"/>
    <w:semiHidden/>
    <w:rsid w:val="00E713D6"/>
    <w:pPr>
      <w:numPr>
        <w:ilvl w:val="1"/>
        <w:numId w:val="5"/>
      </w:numPr>
      <w:spacing w:before="0" w:after="120" w:line="240" w:lineRule="auto"/>
    </w:pPr>
    <w:rPr>
      <w:color w:val="000000"/>
      <w:lang w:eastAsia="sk-SK"/>
    </w:rPr>
  </w:style>
  <w:style w:type="paragraph" w:customStyle="1" w:styleId="lnok">
    <w:name w:val="článok"/>
    <w:basedOn w:val="Normlny"/>
    <w:next w:val="odsek"/>
    <w:semiHidden/>
    <w:rsid w:val="00E713D6"/>
    <w:pPr>
      <w:numPr>
        <w:numId w:val="5"/>
      </w:numPr>
      <w:spacing w:before="120" w:after="240" w:line="240" w:lineRule="auto"/>
      <w:jc w:val="center"/>
    </w:pPr>
    <w:rPr>
      <w:b/>
      <w:bCs/>
      <w:color w:val="000000"/>
      <w:sz w:val="26"/>
      <w:szCs w:val="26"/>
      <w:lang w:eastAsia="sk-SK"/>
    </w:rPr>
  </w:style>
  <w:style w:type="character" w:styleId="Odkaznapoznmkupodiarou">
    <w:name w:val="footnote reference"/>
    <w:aliases w:val="FRef ISO"/>
    <w:basedOn w:val="Predvolenpsmoodseku"/>
    <w:semiHidden/>
    <w:rsid w:val="00E713D6"/>
    <w:rPr>
      <w:vertAlign w:val="superscript"/>
    </w:rPr>
  </w:style>
  <w:style w:type="character" w:styleId="Odkaznakomentr">
    <w:name w:val="annotation reference"/>
    <w:basedOn w:val="Predvolenpsmoodseku"/>
    <w:semiHidden/>
    <w:rsid w:val="00E713D6"/>
    <w:rPr>
      <w:sz w:val="16"/>
      <w:szCs w:val="16"/>
    </w:rPr>
  </w:style>
  <w:style w:type="character" w:customStyle="1" w:styleId="xdpObalDall">
    <w:name w:val="xdp_Obal_D_all"/>
    <w:semiHidden/>
    <w:rsid w:val="00E713D6"/>
    <w:rPr>
      <w:caps/>
    </w:rPr>
  </w:style>
  <w:style w:type="character" w:customStyle="1" w:styleId="CaptionPopiska-CaptionCharChar">
    <w:name w:val="Caption;Popiska-Caption Char Char"/>
    <w:basedOn w:val="ZPNormalnyTextCharChar"/>
    <w:locked/>
    <w:rsid w:val="00E713D6"/>
    <w:rPr>
      <w:b/>
      <w:bCs/>
    </w:rPr>
  </w:style>
  <w:style w:type="paragraph" w:styleId="Zoznamobrzkov">
    <w:name w:val="table of figures"/>
    <w:basedOn w:val="ZPNormalnyText"/>
    <w:next w:val="ZPNormalnyText"/>
    <w:autoRedefine/>
    <w:semiHidden/>
    <w:rsid w:val="00E713D6"/>
    <w:pPr>
      <w:tabs>
        <w:tab w:val="left" w:pos="960"/>
        <w:tab w:val="right" w:leader="dot" w:pos="8505"/>
      </w:tabs>
      <w:spacing w:line="288" w:lineRule="auto"/>
      <w:ind w:left="958" w:right="567" w:hanging="958"/>
    </w:pPr>
    <w:rPr>
      <w:noProof/>
      <w:lang w:val="en-US"/>
    </w:rPr>
  </w:style>
  <w:style w:type="paragraph" w:customStyle="1" w:styleId="ZPTitulList">
    <w:name w:val="ZP_TitulList"/>
    <w:autoRedefine/>
    <w:rsid w:val="00E713D6"/>
    <w:pPr>
      <w:spacing w:line="360" w:lineRule="auto"/>
    </w:pPr>
    <w:rPr>
      <w:rFonts w:eastAsia="Times New Roman"/>
      <w:sz w:val="24"/>
      <w:lang w:eastAsia="en-US"/>
    </w:rPr>
  </w:style>
  <w:style w:type="paragraph" w:customStyle="1" w:styleId="ZPAbstrakt">
    <w:name w:val="ZP_Abstrakt"/>
    <w:autoRedefine/>
    <w:rsid w:val="00E713D6"/>
    <w:pPr>
      <w:spacing w:line="360" w:lineRule="auto"/>
    </w:pPr>
    <w:rPr>
      <w:rFonts w:eastAsia="Times New Roman"/>
      <w:b/>
      <w:bCs/>
      <w:sz w:val="24"/>
      <w:lang w:eastAsia="en-US"/>
    </w:rPr>
  </w:style>
  <w:style w:type="paragraph" w:customStyle="1" w:styleId="ZPNadpisKapitoly">
    <w:name w:val="ZP_NadpisKapitoly"/>
    <w:basedOn w:val="NadpisKapitoly"/>
    <w:autoRedefine/>
    <w:rsid w:val="00E713D6"/>
    <w:pPr>
      <w:ind w:left="0" w:firstLine="0"/>
    </w:pPr>
    <w:rPr>
      <w:rFonts w:ascii="Times New Roman" w:hAnsi="Times New Roman"/>
      <w:bCs/>
    </w:rPr>
  </w:style>
  <w:style w:type="paragraph" w:customStyle="1" w:styleId="ZPNadpis1">
    <w:name w:val="ZP_Nadpis1"/>
    <w:autoRedefine/>
    <w:rsid w:val="00E713D6"/>
    <w:pPr>
      <w:spacing w:line="360" w:lineRule="auto"/>
      <w:jc w:val="both"/>
    </w:pPr>
    <w:rPr>
      <w:rFonts w:eastAsia="Times New Roman"/>
      <w:b/>
      <w:bCs/>
      <w:sz w:val="32"/>
      <w:lang w:eastAsia="en-US"/>
    </w:rPr>
  </w:style>
  <w:style w:type="paragraph" w:customStyle="1" w:styleId="ZPNadpisKapitolyTimesNewRoman">
    <w:name w:val="ZP_ Nadpis Kapitoly + Times New Roman"/>
    <w:basedOn w:val="NadpisKapitoly"/>
    <w:autoRedefine/>
    <w:rsid w:val="00E713D6"/>
    <w:rPr>
      <w:rFonts w:ascii="Times New Roman" w:hAnsi="Times New Roman"/>
      <w:bCs/>
    </w:rPr>
  </w:style>
  <w:style w:type="character" w:customStyle="1" w:styleId="NadpisKapitolyChar">
    <w:name w:val="Nadpis Kapitoly Char"/>
    <w:basedOn w:val="ZPNormalnyTextCharChar"/>
    <w:rsid w:val="00E713D6"/>
    <w:rPr>
      <w:rFonts w:ascii="Arial" w:hAnsi="Arial"/>
      <w:b/>
      <w:sz w:val="32"/>
    </w:rPr>
  </w:style>
  <w:style w:type="character" w:customStyle="1" w:styleId="ZPNadpisKapitolyTimesNewRomanChar">
    <w:name w:val="ZP_ Nadpis Kapitoly + Times New Roman Char"/>
    <w:basedOn w:val="NadpisKapitolyChar"/>
    <w:rsid w:val="00E713D6"/>
    <w:rPr>
      <w:bCs/>
    </w:rPr>
  </w:style>
  <w:style w:type="paragraph" w:customStyle="1" w:styleId="ZPNadpisKapitolyTimesNewRomanLeft0cmFirstline">
    <w:name w:val="ZP_ NadpisKapitoly+Times New Roman Left:  0 cm First line:  ..."/>
    <w:basedOn w:val="NadpisKapitoly"/>
    <w:autoRedefine/>
    <w:rsid w:val="00E713D6"/>
    <w:pPr>
      <w:ind w:left="0" w:firstLine="0"/>
    </w:pPr>
    <w:rPr>
      <w:rFonts w:ascii="Times New Roman" w:hAnsi="Times New Roman"/>
      <w:bCs/>
    </w:rPr>
  </w:style>
  <w:style w:type="paragraph" w:customStyle="1" w:styleId="ZPPodNadpisKapitolyTimesNewRoman">
    <w:name w:val="ZP_PodNadpis Kapitoly + Times New Roman"/>
    <w:basedOn w:val="PodNadpisKapitoly"/>
    <w:autoRedefine/>
    <w:rsid w:val="00CF141A"/>
    <w:rPr>
      <w:rFonts w:ascii="Times New Roman" w:hAnsi="Times New Roman"/>
      <w:bCs/>
      <w:szCs w:val="28"/>
    </w:rPr>
  </w:style>
  <w:style w:type="paragraph" w:customStyle="1" w:styleId="ZPPodNadpis3urovenTimesNewRoman">
    <w:name w:val="ZP_PodNadpis 3.uroven + Times New Roman"/>
    <w:basedOn w:val="PodNadpis3uroven"/>
    <w:autoRedefine/>
    <w:rsid w:val="00472F63"/>
    <w:rPr>
      <w:rFonts w:ascii="Times New Roman" w:hAnsi="Times New Roman"/>
      <w:bCs/>
    </w:rPr>
  </w:style>
  <w:style w:type="paragraph" w:customStyle="1" w:styleId="ZPHeading4TimesNewRoman">
    <w:name w:val="ZP_Heading 4 + Times New Roman"/>
    <w:basedOn w:val="Nadpis4"/>
    <w:autoRedefine/>
    <w:rsid w:val="00E713D6"/>
  </w:style>
  <w:style w:type="paragraph" w:customStyle="1" w:styleId="ZPTabulkaCentered">
    <w:name w:val="ZP_Tabulka + Centered"/>
    <w:basedOn w:val="ZPTabulka"/>
    <w:autoRedefine/>
    <w:rsid w:val="00E713D6"/>
    <w:pPr>
      <w:jc w:val="center"/>
    </w:pPr>
  </w:style>
  <w:style w:type="paragraph" w:styleId="Oznaitext">
    <w:name w:val="Block Text"/>
    <w:basedOn w:val="Normlny"/>
    <w:semiHidden/>
    <w:rsid w:val="00E713D6"/>
    <w:pPr>
      <w:spacing w:after="120"/>
      <w:ind w:left="1440" w:right="1440"/>
    </w:pPr>
  </w:style>
  <w:style w:type="paragraph" w:styleId="Zkladntext2">
    <w:name w:val="Body Text 2"/>
    <w:basedOn w:val="Normlny"/>
    <w:rsid w:val="00E713D6"/>
    <w:pPr>
      <w:spacing w:after="120" w:line="480" w:lineRule="auto"/>
    </w:pPr>
  </w:style>
  <w:style w:type="paragraph" w:styleId="Zkladntext3">
    <w:name w:val="Body Text 3"/>
    <w:basedOn w:val="Normlny"/>
    <w:rsid w:val="00E713D6"/>
    <w:pPr>
      <w:spacing w:after="120"/>
    </w:pPr>
    <w:rPr>
      <w:sz w:val="16"/>
      <w:szCs w:val="16"/>
    </w:rPr>
  </w:style>
  <w:style w:type="paragraph" w:styleId="Prvzarkazkladnhotextu">
    <w:name w:val="Body Text First Indent"/>
    <w:basedOn w:val="Zkladntext"/>
    <w:semiHidden/>
    <w:rsid w:val="00E713D6"/>
    <w:pPr>
      <w:spacing w:before="60" w:after="120" w:line="360" w:lineRule="auto"/>
      <w:ind w:firstLine="210"/>
    </w:pPr>
    <w:rPr>
      <w:lang w:eastAsia="en-US"/>
    </w:rPr>
  </w:style>
  <w:style w:type="paragraph" w:styleId="Zarkazkladnhotextu">
    <w:name w:val="Body Text Indent"/>
    <w:basedOn w:val="Normlny"/>
    <w:rsid w:val="00E713D6"/>
    <w:pPr>
      <w:spacing w:after="120"/>
      <w:ind w:left="283"/>
    </w:pPr>
  </w:style>
  <w:style w:type="paragraph" w:styleId="Prvzarkazkladnhotextu2">
    <w:name w:val="Body Text First Indent 2"/>
    <w:basedOn w:val="Zarkazkladnhotextu"/>
    <w:semiHidden/>
    <w:rsid w:val="00E713D6"/>
    <w:pPr>
      <w:ind w:firstLine="210"/>
    </w:pPr>
  </w:style>
  <w:style w:type="paragraph" w:styleId="Zarkazkladnhotextu2">
    <w:name w:val="Body Text Indent 2"/>
    <w:basedOn w:val="Normlny"/>
    <w:rsid w:val="00E713D6"/>
    <w:pPr>
      <w:spacing w:after="120" w:line="480" w:lineRule="auto"/>
      <w:ind w:left="283"/>
    </w:pPr>
  </w:style>
  <w:style w:type="paragraph" w:styleId="Zarkazkladnhotextu3">
    <w:name w:val="Body Text Indent 3"/>
    <w:basedOn w:val="Normlny"/>
    <w:rsid w:val="00E713D6"/>
    <w:pPr>
      <w:spacing w:after="120"/>
      <w:ind w:left="283"/>
    </w:pPr>
    <w:rPr>
      <w:sz w:val="16"/>
      <w:szCs w:val="16"/>
    </w:rPr>
  </w:style>
  <w:style w:type="paragraph" w:styleId="Zver">
    <w:name w:val="Closing"/>
    <w:basedOn w:val="Normlny"/>
    <w:semiHidden/>
    <w:rsid w:val="00E713D6"/>
    <w:pPr>
      <w:ind w:left="4252"/>
    </w:pPr>
  </w:style>
  <w:style w:type="paragraph" w:styleId="Dtum">
    <w:name w:val="Date"/>
    <w:basedOn w:val="Normlny"/>
    <w:next w:val="Normlny"/>
    <w:semiHidden/>
    <w:rsid w:val="00E713D6"/>
  </w:style>
  <w:style w:type="paragraph" w:styleId="Podpise-mailu">
    <w:name w:val="E-mail Signature"/>
    <w:basedOn w:val="Normlny"/>
    <w:semiHidden/>
    <w:rsid w:val="00E713D6"/>
  </w:style>
  <w:style w:type="character" w:styleId="Zvraznenie">
    <w:name w:val="Emphasis"/>
    <w:basedOn w:val="Predvolenpsmoodseku"/>
    <w:qFormat/>
    <w:rsid w:val="00E713D6"/>
    <w:rPr>
      <w:i/>
      <w:iCs/>
    </w:rPr>
  </w:style>
  <w:style w:type="paragraph" w:styleId="Adresanaoblke">
    <w:name w:val="envelope address"/>
    <w:basedOn w:val="Normlny"/>
    <w:semiHidden/>
    <w:rsid w:val="00E713D6"/>
    <w:pPr>
      <w:framePr w:w="7920" w:h="1980" w:hRule="exact" w:hSpace="141" w:wrap="auto" w:hAnchor="page" w:xAlign="center" w:yAlign="bottom"/>
      <w:ind w:left="2880"/>
    </w:pPr>
    <w:rPr>
      <w:rFonts w:ascii="Arial" w:hAnsi="Arial" w:cs="Arial"/>
    </w:rPr>
  </w:style>
  <w:style w:type="paragraph" w:styleId="Spiatonadresanaoblke">
    <w:name w:val="envelope return"/>
    <w:basedOn w:val="Normlny"/>
    <w:semiHidden/>
    <w:rsid w:val="00E713D6"/>
    <w:rPr>
      <w:rFonts w:ascii="Arial" w:hAnsi="Arial" w:cs="Arial"/>
      <w:sz w:val="20"/>
      <w:szCs w:val="20"/>
    </w:rPr>
  </w:style>
  <w:style w:type="character" w:styleId="SkratkaHTML">
    <w:name w:val="HTML Acronym"/>
    <w:basedOn w:val="Predvolenpsmoodseku"/>
    <w:semiHidden/>
    <w:rsid w:val="00E713D6"/>
  </w:style>
  <w:style w:type="paragraph" w:styleId="AdresaHTML">
    <w:name w:val="HTML Address"/>
    <w:basedOn w:val="Normlny"/>
    <w:semiHidden/>
    <w:rsid w:val="00E713D6"/>
    <w:rPr>
      <w:i/>
      <w:iCs/>
    </w:rPr>
  </w:style>
  <w:style w:type="character" w:styleId="CitciaHTML">
    <w:name w:val="HTML Cite"/>
    <w:basedOn w:val="Predvolenpsmoodseku"/>
    <w:semiHidden/>
    <w:rsid w:val="00E713D6"/>
    <w:rPr>
      <w:i/>
      <w:iCs/>
    </w:rPr>
  </w:style>
  <w:style w:type="character" w:styleId="KdHTML">
    <w:name w:val="HTML Code"/>
    <w:basedOn w:val="Predvolenpsmoodseku"/>
    <w:semiHidden/>
    <w:rsid w:val="00E713D6"/>
    <w:rPr>
      <w:rFonts w:ascii="Courier New" w:hAnsi="Courier New" w:cs="Courier New"/>
      <w:sz w:val="20"/>
      <w:szCs w:val="20"/>
    </w:rPr>
  </w:style>
  <w:style w:type="character" w:styleId="DefinciaHTML">
    <w:name w:val="HTML Definition"/>
    <w:basedOn w:val="Predvolenpsmoodseku"/>
    <w:semiHidden/>
    <w:rsid w:val="00E713D6"/>
    <w:rPr>
      <w:i/>
      <w:iCs/>
    </w:rPr>
  </w:style>
  <w:style w:type="character" w:styleId="KlvesnicaHTML">
    <w:name w:val="HTML Keyboard"/>
    <w:basedOn w:val="Predvolenpsmoodseku"/>
    <w:semiHidden/>
    <w:rsid w:val="00E713D6"/>
    <w:rPr>
      <w:rFonts w:ascii="Courier New" w:hAnsi="Courier New" w:cs="Courier New"/>
      <w:sz w:val="20"/>
      <w:szCs w:val="20"/>
    </w:rPr>
  </w:style>
  <w:style w:type="paragraph" w:styleId="PredformtovanHTML">
    <w:name w:val="HTML Preformatted"/>
    <w:basedOn w:val="Normlny"/>
    <w:semiHidden/>
    <w:rsid w:val="00E713D6"/>
    <w:rPr>
      <w:rFonts w:ascii="Courier New" w:hAnsi="Courier New" w:cs="Courier New"/>
      <w:sz w:val="20"/>
      <w:szCs w:val="20"/>
    </w:rPr>
  </w:style>
  <w:style w:type="character" w:styleId="UkkaHTML">
    <w:name w:val="HTML Sample"/>
    <w:basedOn w:val="Predvolenpsmoodseku"/>
    <w:semiHidden/>
    <w:rsid w:val="00E713D6"/>
    <w:rPr>
      <w:rFonts w:ascii="Courier New" w:hAnsi="Courier New" w:cs="Courier New"/>
    </w:rPr>
  </w:style>
  <w:style w:type="character" w:styleId="PsacstrojHTML">
    <w:name w:val="HTML Typewriter"/>
    <w:basedOn w:val="Predvolenpsmoodseku"/>
    <w:semiHidden/>
    <w:rsid w:val="00E713D6"/>
    <w:rPr>
      <w:rFonts w:ascii="Courier New" w:hAnsi="Courier New" w:cs="Courier New"/>
      <w:sz w:val="20"/>
      <w:szCs w:val="20"/>
    </w:rPr>
  </w:style>
  <w:style w:type="character" w:styleId="PremennHTML">
    <w:name w:val="HTML Variable"/>
    <w:basedOn w:val="Predvolenpsmoodseku"/>
    <w:semiHidden/>
    <w:rsid w:val="00E713D6"/>
    <w:rPr>
      <w:i/>
      <w:iCs/>
    </w:rPr>
  </w:style>
  <w:style w:type="character" w:styleId="sloriadka">
    <w:name w:val="line number"/>
    <w:basedOn w:val="Predvolenpsmoodseku"/>
    <w:semiHidden/>
    <w:rsid w:val="00E713D6"/>
  </w:style>
  <w:style w:type="paragraph" w:styleId="Zoznam">
    <w:name w:val="List"/>
    <w:basedOn w:val="Normlny"/>
    <w:semiHidden/>
    <w:rsid w:val="00E713D6"/>
    <w:pPr>
      <w:ind w:left="283" w:hanging="283"/>
    </w:pPr>
  </w:style>
  <w:style w:type="paragraph" w:styleId="Zoznam2">
    <w:name w:val="List 2"/>
    <w:basedOn w:val="Normlny"/>
    <w:semiHidden/>
    <w:rsid w:val="00E713D6"/>
    <w:pPr>
      <w:ind w:left="566" w:hanging="283"/>
    </w:pPr>
  </w:style>
  <w:style w:type="paragraph" w:styleId="Zoznam3">
    <w:name w:val="List 3"/>
    <w:basedOn w:val="Normlny"/>
    <w:semiHidden/>
    <w:rsid w:val="00E713D6"/>
    <w:pPr>
      <w:ind w:left="849" w:hanging="283"/>
    </w:pPr>
  </w:style>
  <w:style w:type="paragraph" w:styleId="Zoznam4">
    <w:name w:val="List 4"/>
    <w:basedOn w:val="Normlny"/>
    <w:semiHidden/>
    <w:rsid w:val="00E713D6"/>
    <w:pPr>
      <w:ind w:left="1132" w:hanging="283"/>
    </w:pPr>
  </w:style>
  <w:style w:type="paragraph" w:styleId="Zoznam5">
    <w:name w:val="List 5"/>
    <w:basedOn w:val="Normlny"/>
    <w:semiHidden/>
    <w:rsid w:val="00E713D6"/>
    <w:pPr>
      <w:ind w:left="1415" w:hanging="283"/>
    </w:pPr>
  </w:style>
  <w:style w:type="paragraph" w:styleId="Zoznamsodrkami2">
    <w:name w:val="List Bullet 2"/>
    <w:basedOn w:val="Normlny"/>
    <w:semiHidden/>
    <w:rsid w:val="00E713D6"/>
    <w:pPr>
      <w:numPr>
        <w:numId w:val="6"/>
      </w:numPr>
    </w:pPr>
  </w:style>
  <w:style w:type="paragraph" w:styleId="Zoznamsodrkami3">
    <w:name w:val="List Bullet 3"/>
    <w:basedOn w:val="Normlny"/>
    <w:semiHidden/>
    <w:rsid w:val="00E713D6"/>
    <w:pPr>
      <w:numPr>
        <w:numId w:val="7"/>
      </w:numPr>
    </w:pPr>
  </w:style>
  <w:style w:type="paragraph" w:styleId="Zoznamsodrkami4">
    <w:name w:val="List Bullet 4"/>
    <w:basedOn w:val="Normlny"/>
    <w:semiHidden/>
    <w:rsid w:val="00E713D6"/>
    <w:pPr>
      <w:numPr>
        <w:numId w:val="8"/>
      </w:numPr>
    </w:pPr>
  </w:style>
  <w:style w:type="paragraph" w:styleId="Zoznamsodrkami5">
    <w:name w:val="List Bullet 5"/>
    <w:basedOn w:val="Normlny"/>
    <w:semiHidden/>
    <w:rsid w:val="00E713D6"/>
    <w:pPr>
      <w:numPr>
        <w:numId w:val="9"/>
      </w:numPr>
    </w:pPr>
  </w:style>
  <w:style w:type="paragraph" w:styleId="Pokraovaniezoznamu">
    <w:name w:val="List Continue"/>
    <w:basedOn w:val="Normlny"/>
    <w:semiHidden/>
    <w:rsid w:val="00E713D6"/>
    <w:pPr>
      <w:spacing w:after="120"/>
      <w:ind w:left="283"/>
    </w:pPr>
  </w:style>
  <w:style w:type="paragraph" w:styleId="Pokraovaniezoznamu2">
    <w:name w:val="List Continue 2"/>
    <w:basedOn w:val="Normlny"/>
    <w:semiHidden/>
    <w:rsid w:val="00E713D6"/>
    <w:pPr>
      <w:spacing w:after="120"/>
      <w:ind w:left="566"/>
    </w:pPr>
  </w:style>
  <w:style w:type="paragraph" w:styleId="Pokraovaniezoznamu3">
    <w:name w:val="List Continue 3"/>
    <w:basedOn w:val="Normlny"/>
    <w:semiHidden/>
    <w:rsid w:val="00E713D6"/>
    <w:pPr>
      <w:spacing w:after="120"/>
      <w:ind w:left="849"/>
    </w:pPr>
  </w:style>
  <w:style w:type="paragraph" w:styleId="Pokraovaniezoznamu4">
    <w:name w:val="List Continue 4"/>
    <w:basedOn w:val="Normlny"/>
    <w:semiHidden/>
    <w:rsid w:val="00E713D6"/>
    <w:pPr>
      <w:spacing w:after="120"/>
      <w:ind w:left="1132"/>
    </w:pPr>
  </w:style>
  <w:style w:type="paragraph" w:styleId="Pokraovaniezoznamu5">
    <w:name w:val="List Continue 5"/>
    <w:basedOn w:val="Normlny"/>
    <w:semiHidden/>
    <w:rsid w:val="00E713D6"/>
    <w:pPr>
      <w:spacing w:after="120"/>
      <w:ind w:left="1415"/>
    </w:pPr>
  </w:style>
  <w:style w:type="paragraph" w:styleId="slovanzoznam2">
    <w:name w:val="List Number 2"/>
    <w:basedOn w:val="Normlny"/>
    <w:semiHidden/>
    <w:rsid w:val="00E713D6"/>
    <w:pPr>
      <w:numPr>
        <w:numId w:val="10"/>
      </w:numPr>
    </w:pPr>
  </w:style>
  <w:style w:type="paragraph" w:styleId="slovanzoznam3">
    <w:name w:val="List Number 3"/>
    <w:basedOn w:val="Normlny"/>
    <w:semiHidden/>
    <w:rsid w:val="00E713D6"/>
    <w:pPr>
      <w:numPr>
        <w:numId w:val="11"/>
      </w:numPr>
    </w:pPr>
  </w:style>
  <w:style w:type="paragraph" w:styleId="slovanzoznam4">
    <w:name w:val="List Number 4"/>
    <w:basedOn w:val="Normlny"/>
    <w:semiHidden/>
    <w:rsid w:val="00E713D6"/>
    <w:pPr>
      <w:numPr>
        <w:numId w:val="12"/>
      </w:numPr>
    </w:pPr>
  </w:style>
  <w:style w:type="paragraph" w:styleId="slovanzoznam5">
    <w:name w:val="List Number 5"/>
    <w:basedOn w:val="Normlny"/>
    <w:semiHidden/>
    <w:rsid w:val="00E713D6"/>
    <w:pPr>
      <w:numPr>
        <w:numId w:val="13"/>
      </w:numPr>
    </w:pPr>
  </w:style>
  <w:style w:type="paragraph" w:styleId="Hlavikasprvy">
    <w:name w:val="Message Header"/>
    <w:basedOn w:val="Normlny"/>
    <w:semiHidden/>
    <w:rsid w:val="00E713D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lnysozarkami">
    <w:name w:val="Normal Indent"/>
    <w:basedOn w:val="Normlny"/>
    <w:semiHidden/>
    <w:rsid w:val="00E713D6"/>
    <w:pPr>
      <w:ind w:left="708"/>
    </w:pPr>
  </w:style>
  <w:style w:type="paragraph" w:styleId="Nadpispoznmky">
    <w:name w:val="Note Heading"/>
    <w:basedOn w:val="Normlny"/>
    <w:next w:val="Normlny"/>
    <w:semiHidden/>
    <w:rsid w:val="00E713D6"/>
  </w:style>
  <w:style w:type="character" w:styleId="slostrany">
    <w:name w:val="page number"/>
    <w:basedOn w:val="Predvolenpsmoodseku"/>
    <w:rsid w:val="00E713D6"/>
  </w:style>
  <w:style w:type="paragraph" w:styleId="Obyajntext">
    <w:name w:val="Plain Text"/>
    <w:basedOn w:val="Normlny"/>
    <w:link w:val="ObyajntextChar"/>
    <w:rsid w:val="00E713D6"/>
    <w:rPr>
      <w:rFonts w:ascii="Courier New" w:hAnsi="Courier New" w:cs="Courier New"/>
      <w:sz w:val="20"/>
      <w:szCs w:val="20"/>
    </w:rPr>
  </w:style>
  <w:style w:type="paragraph" w:styleId="Oslovenie">
    <w:name w:val="Salutation"/>
    <w:basedOn w:val="Normlny"/>
    <w:next w:val="Normlny"/>
    <w:semiHidden/>
    <w:rsid w:val="00E713D6"/>
  </w:style>
  <w:style w:type="paragraph" w:styleId="Podpis">
    <w:name w:val="Signature"/>
    <w:basedOn w:val="Normlny"/>
    <w:semiHidden/>
    <w:rsid w:val="00E713D6"/>
    <w:pPr>
      <w:ind w:left="4252"/>
    </w:pPr>
  </w:style>
  <w:style w:type="paragraph" w:styleId="Podtitul">
    <w:name w:val="Subtitle"/>
    <w:basedOn w:val="Normlny"/>
    <w:qFormat/>
    <w:rsid w:val="00E713D6"/>
    <w:pPr>
      <w:spacing w:after="60"/>
      <w:jc w:val="center"/>
      <w:outlineLvl w:val="1"/>
    </w:pPr>
    <w:rPr>
      <w:rFonts w:ascii="Arial" w:hAnsi="Arial" w:cs="Arial"/>
    </w:rPr>
  </w:style>
  <w:style w:type="paragraph" w:styleId="Nzov">
    <w:name w:val="Title"/>
    <w:basedOn w:val="Normlny"/>
    <w:qFormat/>
    <w:rsid w:val="00E713D6"/>
    <w:pPr>
      <w:spacing w:before="240" w:after="60"/>
      <w:jc w:val="center"/>
      <w:outlineLvl w:val="0"/>
    </w:pPr>
    <w:rPr>
      <w:rFonts w:ascii="Arial" w:hAnsi="Arial" w:cs="Arial"/>
      <w:b/>
      <w:bCs/>
      <w:kern w:val="28"/>
      <w:sz w:val="32"/>
      <w:szCs w:val="32"/>
    </w:rPr>
  </w:style>
  <w:style w:type="paragraph" w:customStyle="1" w:styleId="Literatra">
    <w:name w:val="Literatúra"/>
    <w:basedOn w:val="ZoznamLiteratury"/>
    <w:rsid w:val="00E713D6"/>
  </w:style>
  <w:style w:type="paragraph" w:customStyle="1" w:styleId="Evidennslo">
    <w:name w:val="Evidenčné číslo"/>
    <w:basedOn w:val="ZPTitulList"/>
    <w:rsid w:val="00E713D6"/>
    <w:pPr>
      <w:jc w:val="both"/>
    </w:pPr>
    <w:rPr>
      <w:sz w:val="28"/>
    </w:rPr>
  </w:style>
  <w:style w:type="paragraph" w:customStyle="1" w:styleId="Oznaenieprce">
    <w:name w:val="Označenie práce"/>
    <w:rsid w:val="00E713D6"/>
    <w:pPr>
      <w:jc w:val="center"/>
    </w:pPr>
    <w:rPr>
      <w:rFonts w:eastAsia="Times New Roman"/>
      <w:b/>
      <w:sz w:val="28"/>
      <w:lang w:eastAsia="en-US"/>
    </w:rPr>
  </w:style>
  <w:style w:type="character" w:customStyle="1" w:styleId="longtext">
    <w:name w:val="long_text"/>
    <w:basedOn w:val="Predvolenpsmoodseku"/>
    <w:rsid w:val="00CA4810"/>
  </w:style>
  <w:style w:type="paragraph" w:styleId="Textbubliny">
    <w:name w:val="Balloon Text"/>
    <w:basedOn w:val="Normlny"/>
    <w:link w:val="TextbublinyChar"/>
    <w:uiPriority w:val="99"/>
    <w:semiHidden/>
    <w:unhideWhenUsed/>
    <w:rsid w:val="004576F5"/>
    <w:pPr>
      <w:spacing w:before="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576F5"/>
    <w:rPr>
      <w:rFonts w:ascii="Tahoma" w:eastAsia="Times New Roman" w:hAnsi="Tahoma" w:cs="Tahoma"/>
      <w:sz w:val="16"/>
      <w:szCs w:val="16"/>
      <w:lang w:eastAsia="en-US"/>
    </w:rPr>
  </w:style>
  <w:style w:type="character" w:customStyle="1" w:styleId="ObyajntextChar">
    <w:name w:val="Obyčajný text Char"/>
    <w:basedOn w:val="Predvolenpsmoodseku"/>
    <w:link w:val="Obyajntext"/>
    <w:rsid w:val="00CC47DB"/>
    <w:rPr>
      <w:rFonts w:ascii="Courier New" w:eastAsia="Times New Roman" w:hAnsi="Courier New" w:cs="Courier New"/>
      <w:lang w:eastAsia="en-US"/>
    </w:rPr>
  </w:style>
  <w:style w:type="paragraph" w:styleId="Odsekzoznamu">
    <w:name w:val="List Paragraph"/>
    <w:basedOn w:val="Normlny"/>
    <w:uiPriority w:val="34"/>
    <w:qFormat/>
    <w:rsid w:val="008A19EF"/>
    <w:pPr>
      <w:spacing w:before="0" w:line="240" w:lineRule="auto"/>
      <w:ind w:left="708"/>
      <w:jc w:val="left"/>
    </w:pPr>
    <w:rPr>
      <w:sz w:val="20"/>
      <w:szCs w:val="20"/>
      <w:lang w:eastAsia="sk-SK"/>
    </w:rPr>
  </w:style>
  <w:style w:type="character" w:customStyle="1" w:styleId="Nadpis3Char">
    <w:name w:val="Nadpis 3 Char"/>
    <w:basedOn w:val="Predvolenpsmoodseku"/>
    <w:link w:val="Nadpis3"/>
    <w:rsid w:val="008A19EF"/>
    <w:rPr>
      <w:rFonts w:ascii="Arial" w:eastAsia="Times New Roman" w:hAnsi="Arial" w:cs="Arial"/>
      <w:b/>
      <w:bCs/>
      <w:sz w:val="26"/>
      <w:szCs w:val="26"/>
      <w:lang w:eastAsia="en-US"/>
    </w:rPr>
  </w:style>
  <w:style w:type="table" w:styleId="Mriekatabuky">
    <w:name w:val="Table Grid"/>
    <w:basedOn w:val="Normlnatabuka"/>
    <w:rsid w:val="008A19E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ld">
    <w:name w:val="bold"/>
    <w:basedOn w:val="Predvolenpsmoodseku"/>
    <w:rsid w:val="00413360"/>
  </w:style>
</w:styles>
</file>

<file path=word/webSettings.xml><?xml version="1.0" encoding="utf-8"?>
<w:webSettings xmlns:r="http://schemas.openxmlformats.org/officeDocument/2006/relationships" xmlns:w="http://schemas.openxmlformats.org/wordprocessingml/2006/main">
  <w:encoding w:val="windows-1250"/>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5.xml"/><Relationship Id="rId18"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image" Target="media/image4.e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yperlink" Target="http://www.portal.gov.sk/Portal/sk/Default.aspx?CatID=39&amp;etype=-1&amp;aid=309"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onica\Desktop\Struktura%20DP\Sablona_ZP%20SPU_5.dot"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Monica\Desktop\Zo&#353;it1.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Documents%20and%20Settings\Monica\Desktop\Zo&#353;it1.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Documents%20and%20Settings\Monica\Desktop\Zo&#353;it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sk-SK"/>
  <c:chart>
    <c:view3D>
      <c:rAngAx val="1"/>
    </c:view3D>
    <c:plotArea>
      <c:layout>
        <c:manualLayout>
          <c:layoutTarget val="inner"/>
          <c:xMode val="edge"/>
          <c:yMode val="edge"/>
          <c:x val="0.19322322514563736"/>
          <c:y val="0.25532770082571798"/>
          <c:w val="0.46368734396005445"/>
          <c:h val="0.61094545663544253"/>
        </c:manualLayout>
      </c:layout>
      <c:bar3DChart>
        <c:barDir val="col"/>
        <c:grouping val="clustered"/>
        <c:ser>
          <c:idx val="0"/>
          <c:order val="0"/>
          <c:tx>
            <c:strRef>
              <c:f>Hárok1!$A$64</c:f>
              <c:strCache>
                <c:ptCount val="1"/>
                <c:pt idx="0">
                  <c:v>Fyzické osoby - podnikatelia spolu</c:v>
                </c:pt>
              </c:strCache>
            </c:strRef>
          </c:tx>
          <c:spPr>
            <a:solidFill>
              <a:srgbClr val="33CC33"/>
            </a:solidFill>
          </c:spPr>
          <c:cat>
            <c:numRef>
              <c:f>Hárok1!$B$63:$F$63</c:f>
              <c:numCache>
                <c:formatCode>General</c:formatCode>
                <c:ptCount val="5"/>
                <c:pt idx="0">
                  <c:v>2004</c:v>
                </c:pt>
                <c:pt idx="1">
                  <c:v>2005</c:v>
                </c:pt>
                <c:pt idx="2">
                  <c:v>2006</c:v>
                </c:pt>
                <c:pt idx="3">
                  <c:v>2007</c:v>
                </c:pt>
                <c:pt idx="4">
                  <c:v>2008</c:v>
                </c:pt>
              </c:numCache>
            </c:numRef>
          </c:cat>
          <c:val>
            <c:numRef>
              <c:f>Hárok1!$B$64:$F$64</c:f>
              <c:numCache>
                <c:formatCode>General</c:formatCode>
                <c:ptCount val="5"/>
                <c:pt idx="0">
                  <c:v>360378</c:v>
                </c:pt>
                <c:pt idx="1">
                  <c:v>367094</c:v>
                </c:pt>
                <c:pt idx="2">
                  <c:v>388246</c:v>
                </c:pt>
                <c:pt idx="3">
                  <c:v>399641</c:v>
                </c:pt>
                <c:pt idx="4">
                  <c:v>418221</c:v>
                </c:pt>
              </c:numCache>
            </c:numRef>
          </c:val>
        </c:ser>
        <c:ser>
          <c:idx val="1"/>
          <c:order val="1"/>
          <c:tx>
            <c:strRef>
              <c:f>Hárok1!$A$65</c:f>
              <c:strCache>
                <c:ptCount val="1"/>
                <c:pt idx="0">
                  <c:v>Živnostníci</c:v>
                </c:pt>
              </c:strCache>
            </c:strRef>
          </c:tx>
          <c:spPr>
            <a:solidFill>
              <a:srgbClr val="7030A0"/>
            </a:solidFill>
          </c:spPr>
          <c:cat>
            <c:numRef>
              <c:f>Hárok1!$B$63:$F$63</c:f>
              <c:numCache>
                <c:formatCode>General</c:formatCode>
                <c:ptCount val="5"/>
                <c:pt idx="0">
                  <c:v>2004</c:v>
                </c:pt>
                <c:pt idx="1">
                  <c:v>2005</c:v>
                </c:pt>
                <c:pt idx="2">
                  <c:v>2006</c:v>
                </c:pt>
                <c:pt idx="3">
                  <c:v>2007</c:v>
                </c:pt>
                <c:pt idx="4">
                  <c:v>2008</c:v>
                </c:pt>
              </c:numCache>
            </c:numRef>
          </c:cat>
          <c:val>
            <c:numRef>
              <c:f>Hárok1!$B$65:$F$65</c:f>
              <c:numCache>
                <c:formatCode>General</c:formatCode>
                <c:ptCount val="5"/>
                <c:pt idx="0">
                  <c:v>336640</c:v>
                </c:pt>
                <c:pt idx="1">
                  <c:v>344870</c:v>
                </c:pt>
                <c:pt idx="2">
                  <c:v>364185</c:v>
                </c:pt>
                <c:pt idx="3">
                  <c:v>374382</c:v>
                </c:pt>
                <c:pt idx="4">
                  <c:v>392841</c:v>
                </c:pt>
              </c:numCache>
            </c:numRef>
          </c:val>
        </c:ser>
        <c:ser>
          <c:idx val="2"/>
          <c:order val="2"/>
          <c:tx>
            <c:strRef>
              <c:f>Hárok1!$A$66</c:f>
              <c:strCache>
                <c:ptCount val="1"/>
                <c:pt idx="0">
                  <c:v>Právnické osoby spolu</c:v>
                </c:pt>
              </c:strCache>
            </c:strRef>
          </c:tx>
          <c:spPr>
            <a:solidFill>
              <a:srgbClr val="FFFF00"/>
            </a:solidFill>
          </c:spPr>
          <c:cat>
            <c:numRef>
              <c:f>Hárok1!$B$63:$F$63</c:f>
              <c:numCache>
                <c:formatCode>General</c:formatCode>
                <c:ptCount val="5"/>
                <c:pt idx="0">
                  <c:v>2004</c:v>
                </c:pt>
                <c:pt idx="1">
                  <c:v>2005</c:v>
                </c:pt>
                <c:pt idx="2">
                  <c:v>2006</c:v>
                </c:pt>
                <c:pt idx="3">
                  <c:v>2007</c:v>
                </c:pt>
                <c:pt idx="4">
                  <c:v>2008</c:v>
                </c:pt>
              </c:numCache>
            </c:numRef>
          </c:cat>
          <c:val>
            <c:numRef>
              <c:f>Hárok1!$B$66:$F$66</c:f>
              <c:numCache>
                <c:formatCode>General</c:formatCode>
                <c:ptCount val="5"/>
                <c:pt idx="0">
                  <c:v>114285</c:v>
                </c:pt>
                <c:pt idx="1">
                  <c:v>126777</c:v>
                </c:pt>
                <c:pt idx="2">
                  <c:v>139240</c:v>
                </c:pt>
                <c:pt idx="3">
                  <c:v>149772</c:v>
                </c:pt>
                <c:pt idx="4">
                  <c:v>169960</c:v>
                </c:pt>
              </c:numCache>
            </c:numRef>
          </c:val>
        </c:ser>
        <c:ser>
          <c:idx val="3"/>
          <c:order val="3"/>
          <c:tx>
            <c:strRef>
              <c:f>Hárok1!$A$67</c:f>
              <c:strCache>
                <c:ptCount val="1"/>
                <c:pt idx="0">
                  <c:v>Ekonomické subjekty spolu</c:v>
                </c:pt>
              </c:strCache>
            </c:strRef>
          </c:tx>
          <c:spPr>
            <a:solidFill>
              <a:srgbClr val="FF0000"/>
            </a:solidFill>
          </c:spPr>
          <c:cat>
            <c:numRef>
              <c:f>Hárok1!$B$63:$F$63</c:f>
              <c:numCache>
                <c:formatCode>General</c:formatCode>
                <c:ptCount val="5"/>
                <c:pt idx="0">
                  <c:v>2004</c:v>
                </c:pt>
                <c:pt idx="1">
                  <c:v>2005</c:v>
                </c:pt>
                <c:pt idx="2">
                  <c:v>2006</c:v>
                </c:pt>
                <c:pt idx="3">
                  <c:v>2007</c:v>
                </c:pt>
                <c:pt idx="4">
                  <c:v>2008</c:v>
                </c:pt>
              </c:numCache>
            </c:numRef>
          </c:cat>
          <c:val>
            <c:numRef>
              <c:f>Hárok1!$B$67:$F$67</c:f>
              <c:numCache>
                <c:formatCode>General</c:formatCode>
                <c:ptCount val="5"/>
                <c:pt idx="0">
                  <c:v>474663</c:v>
                </c:pt>
                <c:pt idx="1">
                  <c:v>493871</c:v>
                </c:pt>
                <c:pt idx="2">
                  <c:v>527486</c:v>
                </c:pt>
                <c:pt idx="3">
                  <c:v>549413</c:v>
                </c:pt>
                <c:pt idx="4">
                  <c:v>588181</c:v>
                </c:pt>
              </c:numCache>
            </c:numRef>
          </c:val>
        </c:ser>
        <c:shape val="box"/>
        <c:axId val="186513280"/>
        <c:axId val="186514816"/>
        <c:axId val="0"/>
      </c:bar3DChart>
      <c:catAx>
        <c:axId val="186513280"/>
        <c:scaling>
          <c:orientation val="minMax"/>
        </c:scaling>
        <c:axPos val="b"/>
        <c:numFmt formatCode="General" sourceLinked="1"/>
        <c:tickLblPos val="nextTo"/>
        <c:crossAx val="186514816"/>
        <c:crosses val="autoZero"/>
        <c:auto val="1"/>
        <c:lblAlgn val="ctr"/>
        <c:lblOffset val="100"/>
      </c:catAx>
      <c:valAx>
        <c:axId val="186514816"/>
        <c:scaling>
          <c:orientation val="minMax"/>
        </c:scaling>
        <c:axPos val="l"/>
        <c:majorGridlines/>
        <c:numFmt formatCode="General" sourceLinked="1"/>
        <c:tickLblPos val="nextTo"/>
        <c:crossAx val="186513280"/>
        <c:crosses val="autoZero"/>
        <c:crossBetween val="between"/>
      </c:valAx>
    </c:plotArea>
    <c:legend>
      <c:legendPos val="r"/>
      <c:layout>
        <c:manualLayout>
          <c:xMode val="edge"/>
          <c:yMode val="edge"/>
          <c:x val="0.69546482299468704"/>
          <c:y val="0.26480947180872488"/>
          <c:w val="0.28525805006081556"/>
          <c:h val="0.69422533862099534"/>
        </c:manualLayout>
      </c:layout>
    </c:legend>
    <c:plotVisOnly val="1"/>
  </c:chart>
  <c:spPr>
    <a:ln>
      <a:solidFill>
        <a:sysClr val="windowText" lastClr="000000"/>
      </a:solidFill>
    </a:ln>
  </c:sp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sk-SK"/>
  <c:chart>
    <c:view3D>
      <c:rAngAx val="1"/>
    </c:view3D>
    <c:plotArea>
      <c:layout>
        <c:manualLayout>
          <c:layoutTarget val="inner"/>
          <c:xMode val="edge"/>
          <c:yMode val="edge"/>
          <c:x val="0.21039884000513953"/>
          <c:y val="0.22622843315756763"/>
          <c:w val="0.42854590728606551"/>
          <c:h val="0.56077211069337241"/>
        </c:manualLayout>
      </c:layout>
      <c:bar3DChart>
        <c:barDir val="col"/>
        <c:grouping val="clustered"/>
        <c:ser>
          <c:idx val="1"/>
          <c:order val="0"/>
          <c:tx>
            <c:strRef>
              <c:f>Hárok1!$A$51</c:f>
              <c:strCache>
                <c:ptCount val="1"/>
                <c:pt idx="0">
                  <c:v>Slobodné povolania</c:v>
                </c:pt>
              </c:strCache>
            </c:strRef>
          </c:tx>
          <c:spPr>
            <a:solidFill>
              <a:srgbClr val="FF0000"/>
            </a:solidFill>
          </c:spPr>
          <c:cat>
            <c:numRef>
              <c:f>Hárok1!$B$49:$F$49</c:f>
              <c:numCache>
                <c:formatCode>General</c:formatCode>
                <c:ptCount val="5"/>
                <c:pt idx="0">
                  <c:v>2004</c:v>
                </c:pt>
                <c:pt idx="1">
                  <c:v>2005</c:v>
                </c:pt>
                <c:pt idx="2">
                  <c:v>2006</c:v>
                </c:pt>
                <c:pt idx="3">
                  <c:v>2007</c:v>
                </c:pt>
                <c:pt idx="4">
                  <c:v>2008</c:v>
                </c:pt>
              </c:numCache>
            </c:numRef>
          </c:cat>
          <c:val>
            <c:numRef>
              <c:f>Hárok1!$B$51:$F$51</c:f>
              <c:numCache>
                <c:formatCode>General</c:formatCode>
                <c:ptCount val="5"/>
                <c:pt idx="0">
                  <c:v>13683</c:v>
                </c:pt>
                <c:pt idx="1">
                  <c:v>12752</c:v>
                </c:pt>
                <c:pt idx="2">
                  <c:v>15175</c:v>
                </c:pt>
                <c:pt idx="3">
                  <c:v>16725</c:v>
                </c:pt>
                <c:pt idx="4">
                  <c:v>17189</c:v>
                </c:pt>
              </c:numCache>
            </c:numRef>
          </c:val>
        </c:ser>
        <c:ser>
          <c:idx val="2"/>
          <c:order val="1"/>
          <c:tx>
            <c:strRef>
              <c:f>Hárok1!$A$52</c:f>
              <c:strCache>
                <c:ptCount val="1"/>
                <c:pt idx="0">
                  <c:v>Samostatne hospodáriaci roľníci</c:v>
                </c:pt>
              </c:strCache>
            </c:strRef>
          </c:tx>
          <c:spPr>
            <a:solidFill>
              <a:srgbClr val="00B050"/>
            </a:solidFill>
          </c:spPr>
          <c:cat>
            <c:numRef>
              <c:f>Hárok1!$B$49:$F$49</c:f>
              <c:numCache>
                <c:formatCode>General</c:formatCode>
                <c:ptCount val="5"/>
                <c:pt idx="0">
                  <c:v>2004</c:v>
                </c:pt>
                <c:pt idx="1">
                  <c:v>2005</c:v>
                </c:pt>
                <c:pt idx="2">
                  <c:v>2006</c:v>
                </c:pt>
                <c:pt idx="3">
                  <c:v>2007</c:v>
                </c:pt>
                <c:pt idx="4">
                  <c:v>2008</c:v>
                </c:pt>
              </c:numCache>
            </c:numRef>
          </c:cat>
          <c:val>
            <c:numRef>
              <c:f>Hárok1!$B$52:$F$52</c:f>
              <c:numCache>
                <c:formatCode>General</c:formatCode>
                <c:ptCount val="5"/>
                <c:pt idx="0">
                  <c:v>10055</c:v>
                </c:pt>
                <c:pt idx="1">
                  <c:v>9472</c:v>
                </c:pt>
                <c:pt idx="2">
                  <c:v>8886</c:v>
                </c:pt>
                <c:pt idx="3">
                  <c:v>8534</c:v>
                </c:pt>
                <c:pt idx="4">
                  <c:v>8191</c:v>
                </c:pt>
              </c:numCache>
            </c:numRef>
          </c:val>
        </c:ser>
        <c:ser>
          <c:idx val="3"/>
          <c:order val="2"/>
          <c:tx>
            <c:strRef>
              <c:f>Hárok1!$A$53</c:f>
              <c:strCache>
                <c:ptCount val="1"/>
                <c:pt idx="0">
                  <c:v>Živnostníci</c:v>
                </c:pt>
              </c:strCache>
            </c:strRef>
          </c:tx>
          <c:spPr>
            <a:solidFill>
              <a:srgbClr val="7030A0"/>
            </a:solidFill>
          </c:spPr>
          <c:cat>
            <c:numRef>
              <c:f>Hárok1!$B$49:$F$49</c:f>
              <c:numCache>
                <c:formatCode>General</c:formatCode>
                <c:ptCount val="5"/>
                <c:pt idx="0">
                  <c:v>2004</c:v>
                </c:pt>
                <c:pt idx="1">
                  <c:v>2005</c:v>
                </c:pt>
                <c:pt idx="2">
                  <c:v>2006</c:v>
                </c:pt>
                <c:pt idx="3">
                  <c:v>2007</c:v>
                </c:pt>
                <c:pt idx="4">
                  <c:v>2008</c:v>
                </c:pt>
              </c:numCache>
            </c:numRef>
          </c:cat>
          <c:val>
            <c:numRef>
              <c:f>Hárok1!$B$53:$F$53</c:f>
              <c:numCache>
                <c:formatCode>General</c:formatCode>
                <c:ptCount val="5"/>
                <c:pt idx="0">
                  <c:v>336640</c:v>
                </c:pt>
                <c:pt idx="1">
                  <c:v>344870</c:v>
                </c:pt>
                <c:pt idx="2">
                  <c:v>364185</c:v>
                </c:pt>
                <c:pt idx="3">
                  <c:v>374382</c:v>
                </c:pt>
                <c:pt idx="4">
                  <c:v>392841</c:v>
                </c:pt>
              </c:numCache>
            </c:numRef>
          </c:val>
        </c:ser>
        <c:shape val="box"/>
        <c:axId val="74651904"/>
        <c:axId val="74653696"/>
        <c:axId val="0"/>
      </c:bar3DChart>
      <c:catAx>
        <c:axId val="74651904"/>
        <c:scaling>
          <c:orientation val="minMax"/>
        </c:scaling>
        <c:axPos val="b"/>
        <c:numFmt formatCode="General" sourceLinked="1"/>
        <c:tickLblPos val="nextTo"/>
        <c:crossAx val="74653696"/>
        <c:crosses val="autoZero"/>
        <c:auto val="1"/>
        <c:lblAlgn val="ctr"/>
        <c:lblOffset val="100"/>
      </c:catAx>
      <c:valAx>
        <c:axId val="74653696"/>
        <c:scaling>
          <c:orientation val="minMax"/>
        </c:scaling>
        <c:axPos val="l"/>
        <c:majorGridlines/>
        <c:numFmt formatCode="General" sourceLinked="1"/>
        <c:tickLblPos val="nextTo"/>
        <c:crossAx val="74651904"/>
        <c:crosses val="autoZero"/>
        <c:crossBetween val="between"/>
      </c:valAx>
    </c:plotArea>
    <c:legend>
      <c:legendPos val="r"/>
      <c:layout>
        <c:manualLayout>
          <c:xMode val="edge"/>
          <c:yMode val="edge"/>
          <c:x val="0.67313278147923816"/>
          <c:y val="0.27772336150288973"/>
          <c:w val="0.27403116568470898"/>
          <c:h val="0.59156220857008257"/>
        </c:manualLayout>
      </c:layout>
    </c:legend>
    <c:plotVisOnly val="1"/>
  </c:chart>
  <c:spPr>
    <a:ln>
      <a:solidFill>
        <a:schemeClr val="tx1"/>
      </a:solidFill>
    </a:ln>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sk-SK"/>
  <c:chart>
    <c:view3D>
      <c:rotX val="30"/>
      <c:perspective val="30"/>
    </c:view3D>
    <c:plotArea>
      <c:layout>
        <c:manualLayout>
          <c:layoutTarget val="inner"/>
          <c:xMode val="edge"/>
          <c:yMode val="edge"/>
          <c:x val="5.5904961565338931E-2"/>
          <c:y val="0.11644832605531295"/>
          <c:w val="0.58258692506203602"/>
          <c:h val="0.85152838427947664"/>
        </c:manualLayout>
      </c:layout>
      <c:pie3DChart>
        <c:varyColors val="1"/>
        <c:ser>
          <c:idx val="0"/>
          <c:order val="0"/>
          <c:explosion val="25"/>
          <c:dPt>
            <c:idx val="0"/>
            <c:spPr>
              <a:solidFill>
                <a:srgbClr val="003300"/>
              </a:solidFill>
            </c:spPr>
          </c:dPt>
          <c:dPt>
            <c:idx val="1"/>
            <c:spPr>
              <a:solidFill>
                <a:srgbClr val="FF0066"/>
              </a:solidFill>
            </c:spPr>
          </c:dPt>
          <c:dPt>
            <c:idx val="2"/>
            <c:spPr>
              <a:solidFill>
                <a:srgbClr val="33CC33"/>
              </a:solidFill>
            </c:spPr>
          </c:dPt>
          <c:dPt>
            <c:idx val="3"/>
            <c:spPr>
              <a:solidFill>
                <a:srgbClr val="990000"/>
              </a:solidFill>
            </c:spPr>
          </c:dPt>
          <c:dPt>
            <c:idx val="4"/>
            <c:spPr>
              <a:solidFill>
                <a:srgbClr val="FFFF00"/>
              </a:solidFill>
            </c:spPr>
          </c:dPt>
          <c:dPt>
            <c:idx val="5"/>
            <c:spPr>
              <a:solidFill>
                <a:srgbClr val="FF0000"/>
              </a:solidFill>
            </c:spPr>
          </c:dPt>
          <c:dPt>
            <c:idx val="6"/>
            <c:spPr>
              <a:solidFill>
                <a:srgbClr val="3333CC"/>
              </a:solidFill>
            </c:spPr>
          </c:dPt>
          <c:dPt>
            <c:idx val="7"/>
            <c:spPr>
              <a:solidFill>
                <a:srgbClr val="FF9900"/>
              </a:solidFill>
            </c:spPr>
          </c:dPt>
          <c:dPt>
            <c:idx val="8"/>
            <c:spPr>
              <a:solidFill>
                <a:srgbClr val="00FF00"/>
              </a:solidFill>
            </c:spPr>
          </c:dPt>
          <c:dPt>
            <c:idx val="9"/>
            <c:spPr>
              <a:solidFill>
                <a:srgbClr val="990099"/>
              </a:solidFill>
            </c:spPr>
          </c:dPt>
          <c:dPt>
            <c:idx val="10"/>
            <c:spPr>
              <a:solidFill>
                <a:srgbClr val="66FFFF"/>
              </a:solidFill>
            </c:spPr>
          </c:dPt>
          <c:cat>
            <c:strRef>
              <c:f>Hárok4!$A$43:$A$53</c:f>
              <c:strCache>
                <c:ptCount val="11"/>
                <c:pt idx="0">
                  <c:v>Bratislavský kraj</c:v>
                </c:pt>
                <c:pt idx="1">
                  <c:v>Západné Slovensko</c:v>
                </c:pt>
                <c:pt idx="2">
                  <c:v>Trnavský kraj</c:v>
                </c:pt>
                <c:pt idx="3">
                  <c:v>Trenčiansky kraj</c:v>
                </c:pt>
                <c:pt idx="4">
                  <c:v>Nitriansky kraj</c:v>
                </c:pt>
                <c:pt idx="5">
                  <c:v>Stredné Slovensko</c:v>
                </c:pt>
                <c:pt idx="6">
                  <c:v>Žilinský kraj</c:v>
                </c:pt>
                <c:pt idx="7">
                  <c:v>Banskobystrický kraj</c:v>
                </c:pt>
                <c:pt idx="8">
                  <c:v>Východné Slovensko</c:v>
                </c:pt>
                <c:pt idx="9">
                  <c:v>Prešovský kraj</c:v>
                </c:pt>
                <c:pt idx="10">
                  <c:v>Košický kraj</c:v>
                </c:pt>
              </c:strCache>
            </c:strRef>
          </c:cat>
          <c:val>
            <c:numRef>
              <c:f>Hárok4!$G$43:$G$53</c:f>
              <c:numCache>
                <c:formatCode>General</c:formatCode>
                <c:ptCount val="11"/>
                <c:pt idx="0">
                  <c:v>58343</c:v>
                </c:pt>
                <c:pt idx="1">
                  <c:v>125579.2</c:v>
                </c:pt>
                <c:pt idx="2">
                  <c:v>39738.6</c:v>
                </c:pt>
                <c:pt idx="3">
                  <c:v>41142.199999999997</c:v>
                </c:pt>
                <c:pt idx="4">
                  <c:v>44698.400000000001</c:v>
                </c:pt>
                <c:pt idx="5">
                  <c:v>91176</c:v>
                </c:pt>
                <c:pt idx="6">
                  <c:v>52456.2</c:v>
                </c:pt>
                <c:pt idx="7">
                  <c:v>38719.800000000003</c:v>
                </c:pt>
                <c:pt idx="8">
                  <c:v>87485.4</c:v>
                </c:pt>
                <c:pt idx="9">
                  <c:v>50085.599999999999</c:v>
                </c:pt>
                <c:pt idx="10">
                  <c:v>37399.800000000003</c:v>
                </c:pt>
              </c:numCache>
            </c:numRef>
          </c:val>
        </c:ser>
      </c:pie3DChart>
    </c:plotArea>
    <c:legend>
      <c:legendPos val="r"/>
      <c:layout>
        <c:manualLayout>
          <c:xMode val="edge"/>
          <c:yMode val="edge"/>
          <c:x val="0.68042060780138369"/>
          <c:y val="0.22792994762117624"/>
          <c:w val="0.27206017486807882"/>
          <c:h val="0.61400887116184855"/>
        </c:manualLayout>
      </c:layout>
    </c:legend>
    <c:plotVisOnly val="1"/>
  </c:chart>
  <c:spPr>
    <a:ln>
      <a:solidFill>
        <a:sysClr val="windowText" lastClr="000000"/>
      </a:solidFill>
    </a:ln>
  </c:spPr>
  <c:externalData r:id="rId1"/>
  <c:userShapes r:id="rId2"/>
</c:chartSpace>
</file>

<file path=word/drawings/drawing1.xml><?xml version="1.0" encoding="utf-8"?>
<c:userShapes xmlns:c="http://schemas.openxmlformats.org/drawingml/2006/chart">
  <cdr:relSizeAnchor xmlns:cdr="http://schemas.openxmlformats.org/drawingml/2006/chartDrawing">
    <cdr:from>
      <cdr:x>0.01942</cdr:x>
      <cdr:y>0.0365</cdr:y>
    </cdr:from>
    <cdr:to>
      <cdr:x>0.98013</cdr:x>
      <cdr:y>0.26642</cdr:y>
    </cdr:to>
    <cdr:sp macro="" textlink="">
      <cdr:nvSpPr>
        <cdr:cNvPr id="3" name="BlokTextu 2"/>
        <cdr:cNvSpPr txBox="1"/>
      </cdr:nvSpPr>
      <cdr:spPr>
        <a:xfrm xmlns:a="http://schemas.openxmlformats.org/drawingml/2006/main">
          <a:off x="76201" y="95944"/>
          <a:ext cx="3770132" cy="6044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sk-SK" sz="1200" b="1"/>
            <a:t>Postavenie živnostníkov v SR</a:t>
          </a:r>
          <a:r>
            <a:rPr lang="sk-SK" sz="1200" b="1" baseline="0"/>
            <a:t> v rámci ekonomických subjektov v sledovanom období 2004-2008</a:t>
          </a:r>
          <a:endParaRPr lang="sk-SK" sz="1200" b="1"/>
        </a:p>
      </cdr:txBody>
    </cdr:sp>
  </cdr:relSizeAnchor>
</c:userShapes>
</file>

<file path=word/drawings/drawing2.xml><?xml version="1.0" encoding="utf-8"?>
<c:userShapes xmlns:c="http://schemas.openxmlformats.org/drawingml/2006/chart">
  <cdr:relSizeAnchor xmlns:cdr="http://schemas.openxmlformats.org/drawingml/2006/chartDrawing">
    <cdr:from>
      <cdr:x>0.05594</cdr:x>
      <cdr:y>0.01923</cdr:y>
    </cdr:from>
    <cdr:to>
      <cdr:x>0.9697</cdr:x>
      <cdr:y>0.2042</cdr:y>
    </cdr:to>
    <cdr:sp macro="" textlink="">
      <cdr:nvSpPr>
        <cdr:cNvPr id="2" name="BlokTextu 1"/>
        <cdr:cNvSpPr txBox="1"/>
      </cdr:nvSpPr>
      <cdr:spPr>
        <a:xfrm xmlns:a="http://schemas.openxmlformats.org/drawingml/2006/main">
          <a:off x="228600" y="60995"/>
          <a:ext cx="3733800" cy="58670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sk-SK" sz="1200" b="1">
              <a:latin typeface="+mn-lt"/>
              <a:cs typeface="Times New Roman" pitchFamily="18" charset="0"/>
            </a:rPr>
            <a:t>Postavenie živnostníkov v SR v</a:t>
          </a:r>
          <a:r>
            <a:rPr lang="sk-SK" sz="1200" b="1" baseline="0">
              <a:latin typeface="+mn-lt"/>
              <a:cs typeface="Times New Roman" pitchFamily="18" charset="0"/>
            </a:rPr>
            <a:t> rámci FO                       v sledovanom období 2004-2008</a:t>
          </a:r>
          <a:endParaRPr lang="sk-SK" sz="1200" b="1">
            <a:latin typeface="+mn-lt"/>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0.11321</cdr:x>
      <cdr:y>0.0524</cdr:y>
    </cdr:from>
    <cdr:to>
      <cdr:x>0.85744</cdr:x>
      <cdr:y>0.18777</cdr:y>
    </cdr:to>
    <cdr:sp macro="" textlink="">
      <cdr:nvSpPr>
        <cdr:cNvPr id="2" name="BlokTextu 1"/>
        <cdr:cNvSpPr txBox="1"/>
      </cdr:nvSpPr>
      <cdr:spPr>
        <a:xfrm xmlns:a="http://schemas.openxmlformats.org/drawingml/2006/main">
          <a:off x="514351" y="228600"/>
          <a:ext cx="3381375" cy="590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sk-SK" sz="1200" b="1"/>
            <a:t>Počet živnostníkov v jednotlivých oblastiach SR     v sledovanom období 2004 - 2008</a:t>
          </a:r>
        </a:p>
      </cdr:txBody>
    </cdr:sp>
  </cdr:relSizeAnchor>
</c:userShape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Sablona_ZP SPU_5</Template>
  <TotalTime>479</TotalTime>
  <Pages>81</Pages>
  <Words>22397</Words>
  <Characters>127663</Characters>
  <Application>Microsoft Office Word</Application>
  <DocSecurity>0</DocSecurity>
  <Lines>1063</Lines>
  <Paragraphs>299</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NÁZOV VYSOKEJ ŠKOLY</vt:lpstr>
      <vt:lpstr>NÁZOV VYSOKEJ ŠKOLY</vt:lpstr>
    </vt:vector>
  </TitlesOfParts>
  <Company>Technical University</Company>
  <LinksUpToDate>false</LinksUpToDate>
  <CharactersWithSpaces>149761</CharactersWithSpaces>
  <SharedDoc>false</SharedDoc>
  <HLinks>
    <vt:vector size="114" baseType="variant">
      <vt:variant>
        <vt:i4>1638454</vt:i4>
      </vt:variant>
      <vt:variant>
        <vt:i4>201</vt:i4>
      </vt:variant>
      <vt:variant>
        <vt:i4>0</vt:i4>
      </vt:variant>
      <vt:variant>
        <vt:i4>5</vt:i4>
      </vt:variant>
      <vt:variant>
        <vt:lpwstr/>
      </vt:variant>
      <vt:variant>
        <vt:lpwstr>_Toc241977241</vt:lpwstr>
      </vt:variant>
      <vt:variant>
        <vt:i4>1638454</vt:i4>
      </vt:variant>
      <vt:variant>
        <vt:i4>195</vt:i4>
      </vt:variant>
      <vt:variant>
        <vt:i4>0</vt:i4>
      </vt:variant>
      <vt:variant>
        <vt:i4>5</vt:i4>
      </vt:variant>
      <vt:variant>
        <vt:lpwstr/>
      </vt:variant>
      <vt:variant>
        <vt:lpwstr>_Toc241977240</vt:lpwstr>
      </vt:variant>
      <vt:variant>
        <vt:i4>1966134</vt:i4>
      </vt:variant>
      <vt:variant>
        <vt:i4>189</vt:i4>
      </vt:variant>
      <vt:variant>
        <vt:i4>0</vt:i4>
      </vt:variant>
      <vt:variant>
        <vt:i4>5</vt:i4>
      </vt:variant>
      <vt:variant>
        <vt:lpwstr/>
      </vt:variant>
      <vt:variant>
        <vt:lpwstr>_Toc241977239</vt:lpwstr>
      </vt:variant>
      <vt:variant>
        <vt:i4>1966134</vt:i4>
      </vt:variant>
      <vt:variant>
        <vt:i4>183</vt:i4>
      </vt:variant>
      <vt:variant>
        <vt:i4>0</vt:i4>
      </vt:variant>
      <vt:variant>
        <vt:i4>5</vt:i4>
      </vt:variant>
      <vt:variant>
        <vt:lpwstr/>
      </vt:variant>
      <vt:variant>
        <vt:lpwstr>_Toc241977238</vt:lpwstr>
      </vt:variant>
      <vt:variant>
        <vt:i4>1966134</vt:i4>
      </vt:variant>
      <vt:variant>
        <vt:i4>177</vt:i4>
      </vt:variant>
      <vt:variant>
        <vt:i4>0</vt:i4>
      </vt:variant>
      <vt:variant>
        <vt:i4>5</vt:i4>
      </vt:variant>
      <vt:variant>
        <vt:lpwstr/>
      </vt:variant>
      <vt:variant>
        <vt:lpwstr>_Toc241977237</vt:lpwstr>
      </vt:variant>
      <vt:variant>
        <vt:i4>1966134</vt:i4>
      </vt:variant>
      <vt:variant>
        <vt:i4>171</vt:i4>
      </vt:variant>
      <vt:variant>
        <vt:i4>0</vt:i4>
      </vt:variant>
      <vt:variant>
        <vt:i4>5</vt:i4>
      </vt:variant>
      <vt:variant>
        <vt:lpwstr/>
      </vt:variant>
      <vt:variant>
        <vt:lpwstr>_Toc241977236</vt:lpwstr>
      </vt:variant>
      <vt:variant>
        <vt:i4>1966134</vt:i4>
      </vt:variant>
      <vt:variant>
        <vt:i4>165</vt:i4>
      </vt:variant>
      <vt:variant>
        <vt:i4>0</vt:i4>
      </vt:variant>
      <vt:variant>
        <vt:i4>5</vt:i4>
      </vt:variant>
      <vt:variant>
        <vt:lpwstr/>
      </vt:variant>
      <vt:variant>
        <vt:lpwstr>_Toc241977235</vt:lpwstr>
      </vt:variant>
      <vt:variant>
        <vt:i4>1966134</vt:i4>
      </vt:variant>
      <vt:variant>
        <vt:i4>159</vt:i4>
      </vt:variant>
      <vt:variant>
        <vt:i4>0</vt:i4>
      </vt:variant>
      <vt:variant>
        <vt:i4>5</vt:i4>
      </vt:variant>
      <vt:variant>
        <vt:lpwstr/>
      </vt:variant>
      <vt:variant>
        <vt:lpwstr>_Toc241977234</vt:lpwstr>
      </vt:variant>
      <vt:variant>
        <vt:i4>1966134</vt:i4>
      </vt:variant>
      <vt:variant>
        <vt:i4>153</vt:i4>
      </vt:variant>
      <vt:variant>
        <vt:i4>0</vt:i4>
      </vt:variant>
      <vt:variant>
        <vt:i4>5</vt:i4>
      </vt:variant>
      <vt:variant>
        <vt:lpwstr/>
      </vt:variant>
      <vt:variant>
        <vt:lpwstr>_Toc241977233</vt:lpwstr>
      </vt:variant>
      <vt:variant>
        <vt:i4>1966134</vt:i4>
      </vt:variant>
      <vt:variant>
        <vt:i4>147</vt:i4>
      </vt:variant>
      <vt:variant>
        <vt:i4>0</vt:i4>
      </vt:variant>
      <vt:variant>
        <vt:i4>5</vt:i4>
      </vt:variant>
      <vt:variant>
        <vt:lpwstr/>
      </vt:variant>
      <vt:variant>
        <vt:lpwstr>_Toc241977232</vt:lpwstr>
      </vt:variant>
      <vt:variant>
        <vt:i4>1966134</vt:i4>
      </vt:variant>
      <vt:variant>
        <vt:i4>141</vt:i4>
      </vt:variant>
      <vt:variant>
        <vt:i4>0</vt:i4>
      </vt:variant>
      <vt:variant>
        <vt:i4>5</vt:i4>
      </vt:variant>
      <vt:variant>
        <vt:lpwstr/>
      </vt:variant>
      <vt:variant>
        <vt:lpwstr>_Toc241977231</vt:lpwstr>
      </vt:variant>
      <vt:variant>
        <vt:i4>1966134</vt:i4>
      </vt:variant>
      <vt:variant>
        <vt:i4>135</vt:i4>
      </vt:variant>
      <vt:variant>
        <vt:i4>0</vt:i4>
      </vt:variant>
      <vt:variant>
        <vt:i4>5</vt:i4>
      </vt:variant>
      <vt:variant>
        <vt:lpwstr/>
      </vt:variant>
      <vt:variant>
        <vt:lpwstr>_Toc241977230</vt:lpwstr>
      </vt:variant>
      <vt:variant>
        <vt:i4>2031670</vt:i4>
      </vt:variant>
      <vt:variant>
        <vt:i4>129</vt:i4>
      </vt:variant>
      <vt:variant>
        <vt:i4>0</vt:i4>
      </vt:variant>
      <vt:variant>
        <vt:i4>5</vt:i4>
      </vt:variant>
      <vt:variant>
        <vt:lpwstr/>
      </vt:variant>
      <vt:variant>
        <vt:lpwstr>_Toc241977229</vt:lpwstr>
      </vt:variant>
      <vt:variant>
        <vt:i4>2031670</vt:i4>
      </vt:variant>
      <vt:variant>
        <vt:i4>123</vt:i4>
      </vt:variant>
      <vt:variant>
        <vt:i4>0</vt:i4>
      </vt:variant>
      <vt:variant>
        <vt:i4>5</vt:i4>
      </vt:variant>
      <vt:variant>
        <vt:lpwstr/>
      </vt:variant>
      <vt:variant>
        <vt:lpwstr>_Toc241977228</vt:lpwstr>
      </vt:variant>
      <vt:variant>
        <vt:i4>2031670</vt:i4>
      </vt:variant>
      <vt:variant>
        <vt:i4>117</vt:i4>
      </vt:variant>
      <vt:variant>
        <vt:i4>0</vt:i4>
      </vt:variant>
      <vt:variant>
        <vt:i4>5</vt:i4>
      </vt:variant>
      <vt:variant>
        <vt:lpwstr/>
      </vt:variant>
      <vt:variant>
        <vt:lpwstr>_Toc241977227</vt:lpwstr>
      </vt:variant>
      <vt:variant>
        <vt:i4>2031670</vt:i4>
      </vt:variant>
      <vt:variant>
        <vt:i4>111</vt:i4>
      </vt:variant>
      <vt:variant>
        <vt:i4>0</vt:i4>
      </vt:variant>
      <vt:variant>
        <vt:i4>5</vt:i4>
      </vt:variant>
      <vt:variant>
        <vt:lpwstr/>
      </vt:variant>
      <vt:variant>
        <vt:lpwstr>_Toc241977226</vt:lpwstr>
      </vt:variant>
      <vt:variant>
        <vt:i4>2031670</vt:i4>
      </vt:variant>
      <vt:variant>
        <vt:i4>105</vt:i4>
      </vt:variant>
      <vt:variant>
        <vt:i4>0</vt:i4>
      </vt:variant>
      <vt:variant>
        <vt:i4>5</vt:i4>
      </vt:variant>
      <vt:variant>
        <vt:lpwstr/>
      </vt:variant>
      <vt:variant>
        <vt:lpwstr>_Toc241977225</vt:lpwstr>
      </vt:variant>
      <vt:variant>
        <vt:i4>2031670</vt:i4>
      </vt:variant>
      <vt:variant>
        <vt:i4>99</vt:i4>
      </vt:variant>
      <vt:variant>
        <vt:i4>0</vt:i4>
      </vt:variant>
      <vt:variant>
        <vt:i4>5</vt:i4>
      </vt:variant>
      <vt:variant>
        <vt:lpwstr/>
      </vt:variant>
      <vt:variant>
        <vt:lpwstr>_Toc241977224</vt:lpwstr>
      </vt:variant>
      <vt:variant>
        <vt:i4>2031670</vt:i4>
      </vt:variant>
      <vt:variant>
        <vt:i4>93</vt:i4>
      </vt:variant>
      <vt:variant>
        <vt:i4>0</vt:i4>
      </vt:variant>
      <vt:variant>
        <vt:i4>5</vt:i4>
      </vt:variant>
      <vt:variant>
        <vt:lpwstr/>
      </vt:variant>
      <vt:variant>
        <vt:lpwstr>_Toc241977223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NÁZOV VYSOKEJ ŠKOLY</dc:title>
  <dc:subject/>
  <dc:creator>monika</dc:creator>
  <cp:keywords/>
  <cp:lastModifiedBy>monika</cp:lastModifiedBy>
  <cp:revision>99</cp:revision>
  <cp:lastPrinted>2010-02-11T05:57:00Z</cp:lastPrinted>
  <dcterms:created xsi:type="dcterms:W3CDTF">2010-04-19T12:03:00Z</dcterms:created>
  <dcterms:modified xsi:type="dcterms:W3CDTF">2010-04-26T22:45:00Z</dcterms:modified>
</cp:coreProperties>
</file>